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088A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8CB4B8E" w14:textId="076892E6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5C05BB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0A1E73FC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140248">
        <w:rPr>
          <w:rFonts w:ascii="Times New Roman" w:hAnsi="Times New Roman" w:cs="Times New Roman"/>
          <w:b/>
          <w:sz w:val="24"/>
          <w:szCs w:val="24"/>
        </w:rPr>
        <w:t>Форматы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4D544584" w14:textId="77777777" w:rsidR="00DD02E5" w:rsidRPr="00EE5848" w:rsidRDefault="00DD02E5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34FBB0EC" w14:textId="77777777" w:rsidR="00DD02E5" w:rsidRPr="00EE5848" w:rsidRDefault="00DD02E5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E5848">
        <w:rPr>
          <w:rFonts w:ascii="Times New Roman" w:hAnsi="Times New Roman" w:cs="Times New Roman"/>
          <w:sz w:val="24"/>
          <w:szCs w:val="24"/>
        </w:rPr>
        <w:t xml:space="preserve">Основанием для разработки национального стандарта является </w:t>
      </w:r>
      <w:bookmarkStart w:id="0" w:name="wpsMainContent"/>
      <w:r w:rsidRPr="00EE5848">
        <w:rPr>
          <w:rFonts w:ascii="Times New Roman" w:hAnsi="Times New Roman" w:cs="Times New Roman"/>
          <w:sz w:val="24"/>
          <w:szCs w:val="24"/>
        </w:rPr>
        <w:t>Программа национальной стандартизации на 202</w:t>
      </w:r>
      <w:r w:rsidR="003C618B">
        <w:rPr>
          <w:rFonts w:ascii="Times New Roman" w:hAnsi="Times New Roman" w:cs="Times New Roman"/>
          <w:sz w:val="24"/>
          <w:szCs w:val="24"/>
        </w:rPr>
        <w:t>3</w:t>
      </w:r>
      <w:r w:rsidRPr="00EE5848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0"/>
      <w:r w:rsidRPr="00EE5848">
        <w:rPr>
          <w:rFonts w:ascii="Times New Roman" w:hAnsi="Times New Roman" w:cs="Times New Roman"/>
          <w:sz w:val="24"/>
          <w:szCs w:val="24"/>
        </w:rPr>
        <w:t>.</w:t>
      </w:r>
    </w:p>
    <w:p w14:paraId="36BF0AA7" w14:textId="77777777" w:rsidR="00DD02E5" w:rsidRDefault="00DD02E5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E5848">
        <w:rPr>
          <w:rFonts w:ascii="Times New Roman" w:hAnsi="Times New Roman" w:cs="Times New Roman"/>
          <w:sz w:val="24"/>
          <w:szCs w:val="24"/>
        </w:rPr>
        <w:t xml:space="preserve">Шифр темы: </w:t>
      </w:r>
      <w:r w:rsidR="00140248" w:rsidRPr="00140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1.0.482-1.062.23</w:t>
      </w:r>
      <w:r w:rsidR="00622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0875FE" w14:textId="77777777" w:rsidR="00DD02E5" w:rsidRDefault="00DD02E5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E5848">
        <w:rPr>
          <w:rFonts w:ascii="Times New Roman" w:hAnsi="Times New Roman" w:cs="Times New Roman"/>
          <w:sz w:val="24"/>
          <w:szCs w:val="24"/>
        </w:rPr>
        <w:t>Разработка ГОСТ Р</w:t>
      </w:r>
      <w:r w:rsidR="00622F62">
        <w:rPr>
          <w:rFonts w:ascii="Times New Roman" w:hAnsi="Times New Roman" w:cs="Times New Roman"/>
          <w:sz w:val="24"/>
          <w:szCs w:val="24"/>
        </w:rPr>
        <w:t>.</w:t>
      </w:r>
    </w:p>
    <w:p w14:paraId="11A37C80" w14:textId="77777777" w:rsidR="003C618B" w:rsidRPr="00EE5848" w:rsidRDefault="003C618B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Вводится впервые</w:t>
      </w:r>
      <w:r w:rsidR="00622F62">
        <w:rPr>
          <w:rFonts w:ascii="Times New Roman" w:hAnsi="Times New Roman" w:cs="Times New Roman"/>
          <w:sz w:val="24"/>
          <w:szCs w:val="24"/>
        </w:rPr>
        <w:t>.</w:t>
      </w:r>
    </w:p>
    <w:p w14:paraId="47EBEB34" w14:textId="77777777" w:rsidR="00DD02E5" w:rsidRPr="00EE5848" w:rsidRDefault="00DD02E5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40AB0647" w14:textId="77777777" w:rsidR="00DD02E5" w:rsidRPr="00F20E93" w:rsidRDefault="00DD02E5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20E93">
        <w:rPr>
          <w:rFonts w:ascii="Times New Roman" w:hAnsi="Times New Roman" w:cs="Times New Roman"/>
          <w:sz w:val="24"/>
          <w:szCs w:val="24"/>
        </w:rPr>
        <w:t xml:space="preserve">Объектом стандартизации является </w:t>
      </w:r>
      <w:r w:rsidR="003C618B">
        <w:rPr>
          <w:rFonts w:ascii="Times New Roman" w:hAnsi="Times New Roman" w:cs="Times New Roman"/>
          <w:sz w:val="24"/>
          <w:szCs w:val="24"/>
        </w:rPr>
        <w:t>конструкторская документация</w:t>
      </w:r>
      <w:r w:rsidRPr="00F20E93">
        <w:rPr>
          <w:rFonts w:ascii="Times New Roman" w:hAnsi="Times New Roman" w:cs="Times New Roman"/>
          <w:sz w:val="24"/>
          <w:szCs w:val="24"/>
        </w:rPr>
        <w:t>.</w:t>
      </w:r>
    </w:p>
    <w:p w14:paraId="16735C17" w14:textId="77777777" w:rsidR="00960CC3" w:rsidRDefault="009811E6" w:rsidP="00960CC3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811E6">
        <w:rPr>
          <w:rFonts w:ascii="Times New Roman" w:hAnsi="Times New Roman" w:cs="Times New Roman"/>
          <w:sz w:val="24"/>
          <w:szCs w:val="24"/>
        </w:rPr>
        <w:t xml:space="preserve">тандарт устанавливает </w:t>
      </w:r>
      <w:r w:rsidR="00960CC3" w:rsidRPr="00960CC3">
        <w:rPr>
          <w:rFonts w:ascii="Times New Roman" w:hAnsi="Times New Roman" w:cs="Times New Roman"/>
          <w:sz w:val="24"/>
          <w:szCs w:val="24"/>
        </w:rPr>
        <w:t xml:space="preserve">размеры страниц и форматы листов для выполнения </w:t>
      </w:r>
      <w:proofErr w:type="spellStart"/>
      <w:r w:rsidR="00960CC3" w:rsidRPr="00960CC3">
        <w:rPr>
          <w:rFonts w:ascii="Times New Roman" w:hAnsi="Times New Roman" w:cs="Times New Roman"/>
          <w:sz w:val="24"/>
          <w:szCs w:val="24"/>
        </w:rPr>
        <w:t>странично</w:t>
      </w:r>
      <w:proofErr w:type="spellEnd"/>
      <w:r w:rsidR="00960CC3" w:rsidRPr="00960CC3">
        <w:rPr>
          <w:rFonts w:ascii="Times New Roman" w:hAnsi="Times New Roman" w:cs="Times New Roman"/>
          <w:sz w:val="24"/>
          <w:szCs w:val="24"/>
        </w:rPr>
        <w:t>-ориентированных конструкторских документов и их указание в конструкторских документах изделий машиностроения всех отраслей промышленности.</w:t>
      </w:r>
    </w:p>
    <w:p w14:paraId="72BA99FA" w14:textId="1F086C7D" w:rsidR="009811E6" w:rsidRPr="00800C56" w:rsidRDefault="008A6CE9" w:rsidP="00960CC3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Указание в области применения стандартов ЕСКД только изделий машиностроения говорит о том, что требования, содержащиеся в документе, в полном объеме учитывают только особенности данного класса изделий. </w:t>
      </w:r>
      <w:r w:rsidR="00800C56">
        <w:rPr>
          <w:rFonts w:ascii="Times New Roman" w:hAnsi="Times New Roman" w:cs="Times New Roman"/>
          <w:sz w:val="24"/>
          <w:szCs w:val="24"/>
        </w:rPr>
        <w:t xml:space="preserve">При необходимости стандарт может применяться в проектной документации для строительства, в программной документации и </w:t>
      </w:r>
      <w:r>
        <w:rPr>
          <w:rFonts w:ascii="Times New Roman" w:hAnsi="Times New Roman" w:cs="Times New Roman"/>
          <w:sz w:val="24"/>
          <w:szCs w:val="24"/>
        </w:rPr>
        <w:t>в других областях</w:t>
      </w:r>
      <w:r w:rsidR="00800C56">
        <w:rPr>
          <w:rFonts w:ascii="Times New Roman" w:hAnsi="Times New Roman" w:cs="Times New Roman"/>
          <w:sz w:val="24"/>
          <w:szCs w:val="24"/>
        </w:rPr>
        <w:t>, если в соответствующих стандартах данных систем установлена на него ссылка.</w:t>
      </w:r>
      <w:r w:rsidR="00960CC3">
        <w:rPr>
          <w:rFonts w:ascii="Times New Roman" w:hAnsi="Times New Roman" w:cs="Times New Roman"/>
          <w:sz w:val="24"/>
          <w:szCs w:val="24"/>
        </w:rPr>
        <w:t xml:space="preserve"> При этом явное указание распространения стандартов ЕСКД на другие отрасли промышленности исключено из области применения стандартов ЕСКД, так как такое решение должно приниматься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соответствующими </w:t>
      </w:r>
      <w:r w:rsidR="00960CC3">
        <w:rPr>
          <w:rFonts w:ascii="Times New Roman" w:hAnsi="Times New Roman" w:cs="Times New Roman"/>
          <w:sz w:val="24"/>
          <w:szCs w:val="24"/>
        </w:rPr>
        <w:t>органами по стандартизации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20D38" w14:textId="77777777" w:rsidR="00DD02E5" w:rsidRPr="00EE5848" w:rsidRDefault="00DD02E5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7A5218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0C91C70C" w14:textId="77777777" w:rsidR="00960CC3" w:rsidRDefault="00DD02E5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E5848">
        <w:rPr>
          <w:rFonts w:ascii="Times New Roman" w:hAnsi="Times New Roman" w:cs="Times New Roman"/>
          <w:sz w:val="24"/>
          <w:szCs w:val="24"/>
        </w:rPr>
        <w:t>Проект ГОСТ Р разработан с целью</w:t>
      </w:r>
      <w:r w:rsidR="00960CC3">
        <w:rPr>
          <w:rFonts w:ascii="Times New Roman" w:hAnsi="Times New Roman" w:cs="Times New Roman"/>
          <w:sz w:val="24"/>
          <w:szCs w:val="24"/>
        </w:rPr>
        <w:t>:</w:t>
      </w:r>
    </w:p>
    <w:p w14:paraId="4A0C68E2" w14:textId="4E57B80B" w:rsidR="00960CC3" w:rsidRPr="00FA349E" w:rsidRDefault="00960CC3" w:rsidP="00960CC3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установления ограниченного перечня форматов листов бумаги, который могут применяться для выполнения и печати КД.</w:t>
      </w:r>
    </w:p>
    <w:p w14:paraId="78B211DB" w14:textId="64A5A099" w:rsidR="00DD02E5" w:rsidRDefault="00960CC3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D02E5" w:rsidRPr="00EE5848">
        <w:rPr>
          <w:rFonts w:ascii="Times New Roman" w:hAnsi="Times New Roman" w:cs="Times New Roman"/>
          <w:sz w:val="24"/>
          <w:szCs w:val="24"/>
        </w:rPr>
        <w:t xml:space="preserve"> </w:t>
      </w:r>
      <w:r w:rsidR="003C618B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>
        <w:rPr>
          <w:rFonts w:ascii="Times New Roman" w:hAnsi="Times New Roman" w:cs="Times New Roman"/>
          <w:sz w:val="24"/>
          <w:szCs w:val="24"/>
        </w:rPr>
        <w:t xml:space="preserve">стандартизованных размеров страниц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-ориентированных конструкторских документов (электронных и бумажных) с учетом применяемых для КД форматов листов бумаги.</w:t>
      </w:r>
    </w:p>
    <w:p w14:paraId="54303A5C" w14:textId="71DAA8A2" w:rsidR="00FA349E" w:rsidRPr="00960CC3" w:rsidRDefault="00960CC3" w:rsidP="00FA349E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60CC3">
        <w:rPr>
          <w:rFonts w:ascii="Times New Roman" w:hAnsi="Times New Roman" w:cs="Times New Roman"/>
          <w:sz w:val="24"/>
          <w:szCs w:val="24"/>
        </w:rPr>
        <w:t>Т</w:t>
      </w:r>
      <w:r w:rsidR="00FA349E" w:rsidRPr="00960CC3">
        <w:rPr>
          <w:rFonts w:ascii="Times New Roman" w:hAnsi="Times New Roman" w:cs="Times New Roman"/>
          <w:sz w:val="24"/>
          <w:szCs w:val="24"/>
        </w:rPr>
        <w:t>ермин "формат" в контексте современной конструкторской документации приобрел множественные значения. С появлением электронных документов возникла необходимость различать:</w:t>
      </w:r>
    </w:p>
    <w:p w14:paraId="593BB70F" w14:textId="096671E6" w:rsidR="00FA349E" w:rsidRPr="00960CC3" w:rsidRDefault="00960CC3" w:rsidP="006B3198">
      <w:pPr>
        <w:widowControl w:val="0"/>
        <w:numPr>
          <w:ilvl w:val="0"/>
          <w:numId w:val="8"/>
        </w:numPr>
        <w:tabs>
          <w:tab w:val="clear" w:pos="720"/>
        </w:tabs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A349E" w:rsidRPr="00960CC3">
        <w:rPr>
          <w:rFonts w:ascii="Times New Roman" w:hAnsi="Times New Roman" w:cs="Times New Roman"/>
          <w:sz w:val="24"/>
          <w:szCs w:val="24"/>
        </w:rPr>
        <w:t>ормат данных (XML, PDF, DWG и т.д.)</w:t>
      </w:r>
      <w:r w:rsidRPr="00960CC3">
        <w:rPr>
          <w:rFonts w:ascii="Times New Roman" w:hAnsi="Times New Roman" w:cs="Times New Roman"/>
          <w:sz w:val="24"/>
          <w:szCs w:val="24"/>
        </w:rPr>
        <w:t>;</w:t>
      </w:r>
    </w:p>
    <w:p w14:paraId="62EA99E8" w14:textId="4B8B724E" w:rsidR="00FA349E" w:rsidRPr="00960CC3" w:rsidRDefault="00960CC3" w:rsidP="006B3198">
      <w:pPr>
        <w:widowControl w:val="0"/>
        <w:numPr>
          <w:ilvl w:val="0"/>
          <w:numId w:val="8"/>
        </w:numPr>
        <w:tabs>
          <w:tab w:val="clear" w:pos="720"/>
        </w:tabs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A349E" w:rsidRPr="00960CC3">
        <w:rPr>
          <w:rFonts w:ascii="Times New Roman" w:hAnsi="Times New Roman" w:cs="Times New Roman"/>
          <w:sz w:val="24"/>
          <w:szCs w:val="24"/>
        </w:rPr>
        <w:t>азмер виртуальной страницы электронного документа</w:t>
      </w:r>
      <w:r w:rsidRPr="00960CC3">
        <w:rPr>
          <w:rFonts w:ascii="Times New Roman" w:hAnsi="Times New Roman" w:cs="Times New Roman"/>
          <w:sz w:val="24"/>
          <w:szCs w:val="24"/>
        </w:rPr>
        <w:t>;</w:t>
      </w:r>
    </w:p>
    <w:p w14:paraId="5D1F42DB" w14:textId="39D9C49C" w:rsidR="00FA349E" w:rsidRPr="00960CC3" w:rsidRDefault="00960CC3" w:rsidP="006B3198">
      <w:pPr>
        <w:widowControl w:val="0"/>
        <w:numPr>
          <w:ilvl w:val="0"/>
          <w:numId w:val="8"/>
        </w:numPr>
        <w:tabs>
          <w:tab w:val="clear" w:pos="720"/>
        </w:tabs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A349E" w:rsidRPr="00960CC3">
        <w:rPr>
          <w:rFonts w:ascii="Times New Roman" w:hAnsi="Times New Roman" w:cs="Times New Roman"/>
          <w:sz w:val="24"/>
          <w:szCs w:val="24"/>
        </w:rPr>
        <w:t>азмер физического листа при печати</w:t>
      </w:r>
      <w:r w:rsidR="006B3198">
        <w:rPr>
          <w:rFonts w:ascii="Times New Roman" w:hAnsi="Times New Roman" w:cs="Times New Roman"/>
          <w:sz w:val="24"/>
          <w:szCs w:val="24"/>
        </w:rPr>
        <w:t xml:space="preserve"> (стандартизованный в ГОСТ 19112-78 термин «формат листа»)</w:t>
      </w:r>
      <w:r w:rsidRPr="00960CC3">
        <w:rPr>
          <w:rFonts w:ascii="Times New Roman" w:hAnsi="Times New Roman" w:cs="Times New Roman"/>
          <w:sz w:val="24"/>
          <w:szCs w:val="24"/>
        </w:rPr>
        <w:t>.</w:t>
      </w:r>
    </w:p>
    <w:p w14:paraId="7A327BF4" w14:textId="6517A7DD" w:rsidR="008A6CE9" w:rsidRPr="008A6CE9" w:rsidRDefault="008A6CE9" w:rsidP="008A6CE9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A6CE9">
        <w:rPr>
          <w:rFonts w:ascii="Times New Roman" w:hAnsi="Times New Roman" w:cs="Times New Roman"/>
          <w:sz w:val="24"/>
          <w:szCs w:val="24"/>
        </w:rPr>
        <w:t>В настоящее время существительное «формат» получило множество других значений (напр., формат данных, графический формат, и др.), которые также применяются в стандартах ЕСКД.  Предлагается изменить наименование стандарта на «Единая система конструкторской документации. Формат</w:t>
      </w:r>
      <w:r>
        <w:rPr>
          <w:rFonts w:ascii="Times New Roman" w:hAnsi="Times New Roman" w:cs="Times New Roman"/>
          <w:sz w:val="24"/>
          <w:szCs w:val="24"/>
        </w:rPr>
        <w:t>ы листов</w:t>
      </w:r>
      <w:r w:rsidRPr="008A6CE9">
        <w:rPr>
          <w:rFonts w:ascii="Times New Roman" w:hAnsi="Times New Roman" w:cs="Times New Roman"/>
          <w:sz w:val="24"/>
          <w:szCs w:val="24"/>
        </w:rPr>
        <w:t>».</w:t>
      </w:r>
    </w:p>
    <w:p w14:paraId="37C4BD80" w14:textId="1A51CC61" w:rsidR="00FA349E" w:rsidRDefault="006B3198" w:rsidP="00FA349E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Когда конструктор разрабатывает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-ориентированный КД,</w:t>
      </w:r>
      <w:r w:rsidR="008A6CE9">
        <w:rPr>
          <w:rFonts w:ascii="Times New Roman" w:hAnsi="Times New Roman" w:cs="Times New Roman"/>
          <w:sz w:val="24"/>
          <w:szCs w:val="24"/>
        </w:rPr>
        <w:t xml:space="preserve"> он оперирует только с параметрами страницы документа, но </w:t>
      </w:r>
      <w:r>
        <w:rPr>
          <w:rFonts w:ascii="Times New Roman" w:hAnsi="Times New Roman" w:cs="Times New Roman"/>
          <w:sz w:val="24"/>
          <w:szCs w:val="24"/>
        </w:rPr>
        <w:t>должен предполагать возможность его распечатывания и применения в бумажной форме. Именно поэтому размер</w:t>
      </w:r>
      <w:r w:rsidR="008A6CE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страниц электронного КД должн</w:t>
      </w:r>
      <w:r w:rsidR="008A6CE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совпада</w:t>
      </w:r>
      <w:r w:rsidR="008A6CE9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8A6CE9">
        <w:rPr>
          <w:rFonts w:ascii="Times New Roman" w:hAnsi="Times New Roman" w:cs="Times New Roman"/>
          <w:sz w:val="24"/>
          <w:szCs w:val="24"/>
        </w:rPr>
        <w:t xml:space="preserve">размерами </w:t>
      </w:r>
      <w:r>
        <w:rPr>
          <w:rFonts w:ascii="Times New Roman" w:hAnsi="Times New Roman" w:cs="Times New Roman"/>
          <w:sz w:val="24"/>
          <w:szCs w:val="24"/>
        </w:rPr>
        <w:t>имеющи</w:t>
      </w:r>
      <w:r w:rsidR="008A6CE9">
        <w:rPr>
          <w:rFonts w:ascii="Times New Roman" w:hAnsi="Times New Roman" w:cs="Times New Roman"/>
          <w:sz w:val="24"/>
          <w:szCs w:val="24"/>
        </w:rPr>
        <w:t>хся</w:t>
      </w:r>
      <w:r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8A6CE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бумаги для печати.</w:t>
      </w:r>
      <w:r w:rsidR="008A6CE9">
        <w:rPr>
          <w:rFonts w:ascii="Times New Roman" w:hAnsi="Times New Roman" w:cs="Times New Roman"/>
          <w:sz w:val="24"/>
          <w:szCs w:val="24"/>
        </w:rPr>
        <w:t xml:space="preserve"> Окончательная редакция вводит нормативные ссылки на стандарты, устанавливающие требования к потребительским (готовым для применения) и промышленным (требующим разрезания) форматам бумаги для печати.</w:t>
      </w:r>
    </w:p>
    <w:p w14:paraId="1D89A8C4" w14:textId="4D9D4BC9" w:rsidR="006B3198" w:rsidRDefault="006B3198" w:rsidP="00FA349E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реквизитах электронного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-ориентированного КД конструктор должен указать, на каких форматах </w:t>
      </w:r>
      <w:r w:rsidR="008A6CE9">
        <w:rPr>
          <w:rFonts w:ascii="Times New Roman" w:hAnsi="Times New Roman" w:cs="Times New Roman"/>
          <w:sz w:val="24"/>
          <w:szCs w:val="24"/>
        </w:rPr>
        <w:t xml:space="preserve">бумаги следует печатать </w:t>
      </w:r>
      <w:r w:rsidR="002611EA">
        <w:rPr>
          <w:rFonts w:ascii="Times New Roman" w:hAnsi="Times New Roman" w:cs="Times New Roman"/>
          <w:sz w:val="24"/>
          <w:szCs w:val="24"/>
        </w:rPr>
        <w:t>документ, чтобы получить «правильное»</w:t>
      </w:r>
      <w:r>
        <w:rPr>
          <w:rFonts w:ascii="Times New Roman" w:hAnsi="Times New Roman" w:cs="Times New Roman"/>
          <w:sz w:val="24"/>
          <w:szCs w:val="24"/>
        </w:rPr>
        <w:t xml:space="preserve"> оформление документа, выбранные масштабы изображения и прочие элементы. Указание в реквизитной части </w:t>
      </w:r>
      <w:r w:rsidR="002611EA">
        <w:rPr>
          <w:rFonts w:ascii="Times New Roman" w:hAnsi="Times New Roman" w:cs="Times New Roman"/>
          <w:sz w:val="24"/>
          <w:szCs w:val="24"/>
        </w:rPr>
        <w:t xml:space="preserve">электронного КД </w:t>
      </w:r>
      <w:r>
        <w:rPr>
          <w:rFonts w:ascii="Times New Roman" w:hAnsi="Times New Roman" w:cs="Times New Roman"/>
          <w:sz w:val="24"/>
          <w:szCs w:val="24"/>
        </w:rPr>
        <w:t xml:space="preserve">всех форматов листов документа, а также количества листов каждого формата позволяет вести учет и планирование, а также использовать эти параметры для учета трудозатрат по разным задачам. При наличии АС УДИ заполнение реквизита «Формат листов» может быть автоматизировано. </w:t>
      </w:r>
    </w:p>
    <w:p w14:paraId="089F8EF0" w14:textId="22D12E68" w:rsidR="006B3198" w:rsidRPr="00FA349E" w:rsidRDefault="006B3198" w:rsidP="00FA349E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Печать КД на листах, непредназначенных для этого форматов, скорее всего приведет к искажению информации и нарушению требований стандартов ЕСКД, именно поэтому в стандарте имеется явное требование о необходимости указания в бумажном КД </w:t>
      </w:r>
      <w:r w:rsidR="002611EA">
        <w:rPr>
          <w:rFonts w:ascii="Times New Roman" w:hAnsi="Times New Roman" w:cs="Times New Roman"/>
          <w:sz w:val="24"/>
          <w:szCs w:val="24"/>
        </w:rPr>
        <w:t>требующегося</w:t>
      </w:r>
      <w:r>
        <w:rPr>
          <w:rFonts w:ascii="Times New Roman" w:hAnsi="Times New Roman" w:cs="Times New Roman"/>
          <w:sz w:val="24"/>
          <w:szCs w:val="24"/>
        </w:rPr>
        <w:t xml:space="preserve"> формата для каждого листа КД – в графе 32 основной надписи</w:t>
      </w:r>
      <w:r w:rsidR="008A6CE9">
        <w:rPr>
          <w:rFonts w:ascii="Times New Roman" w:hAnsi="Times New Roman" w:cs="Times New Roman"/>
          <w:sz w:val="24"/>
          <w:szCs w:val="24"/>
        </w:rPr>
        <w:t>. Это позволит предотвратить распространение и применение КД, выполненной с нарушением требований.</w:t>
      </w:r>
    </w:p>
    <w:p w14:paraId="74B881C7" w14:textId="6741C1B8" w:rsidR="00140248" w:rsidRDefault="008A6CE9" w:rsidP="008F221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</w:t>
      </w:r>
      <w:r w:rsidR="00140248" w:rsidRPr="00140248">
        <w:rPr>
          <w:rFonts w:ascii="Times New Roman" w:hAnsi="Times New Roman" w:cs="Times New Roman"/>
          <w:sz w:val="24"/>
          <w:szCs w:val="24"/>
        </w:rPr>
        <w:t xml:space="preserve"> допускает применение иных производных </w:t>
      </w:r>
      <w:r>
        <w:rPr>
          <w:rFonts w:ascii="Times New Roman" w:hAnsi="Times New Roman" w:cs="Times New Roman"/>
          <w:sz w:val="24"/>
          <w:szCs w:val="24"/>
        </w:rPr>
        <w:t>размеров</w:t>
      </w:r>
      <w:r w:rsidR="00B20976">
        <w:rPr>
          <w:rFonts w:ascii="Times New Roman" w:hAnsi="Times New Roman" w:cs="Times New Roman"/>
          <w:sz w:val="24"/>
          <w:szCs w:val="24"/>
        </w:rPr>
        <w:t xml:space="preserve"> </w:t>
      </w:r>
      <w:r w:rsidR="008551A4">
        <w:rPr>
          <w:rFonts w:ascii="Times New Roman" w:hAnsi="Times New Roman" w:cs="Times New Roman"/>
          <w:sz w:val="24"/>
          <w:szCs w:val="24"/>
        </w:rPr>
        <w:t>страниц</w:t>
      </w:r>
      <w:r w:rsidR="00140248" w:rsidRPr="001402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базирующихся на кратном увеличении основных форматов</w:t>
      </w:r>
      <w:r w:rsidR="00140248" w:rsidRPr="00140248">
        <w:rPr>
          <w:rFonts w:ascii="Times New Roman" w:hAnsi="Times New Roman" w:cs="Times New Roman"/>
          <w:sz w:val="24"/>
          <w:szCs w:val="24"/>
        </w:rPr>
        <w:t xml:space="preserve">, если их применение регламентировано в </w:t>
      </w:r>
      <w:r w:rsidR="00140248">
        <w:rPr>
          <w:rFonts w:ascii="Times New Roman" w:hAnsi="Times New Roman" w:cs="Times New Roman"/>
          <w:sz w:val="24"/>
          <w:szCs w:val="24"/>
        </w:rPr>
        <w:t xml:space="preserve">стандартах организации, и устанавливает основные правила </w:t>
      </w:r>
      <w:r w:rsidR="004F0E2F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140248">
        <w:rPr>
          <w:rFonts w:ascii="Times New Roman" w:hAnsi="Times New Roman" w:cs="Times New Roman"/>
          <w:sz w:val="24"/>
          <w:szCs w:val="24"/>
        </w:rPr>
        <w:t>произвольных форматов</w:t>
      </w:r>
      <w:r>
        <w:rPr>
          <w:rFonts w:ascii="Times New Roman" w:hAnsi="Times New Roman" w:cs="Times New Roman"/>
          <w:sz w:val="24"/>
          <w:szCs w:val="24"/>
        </w:rPr>
        <w:t>. Для печати КД с производными размерами страниц могут использоваться промышленные форматы бумаги.</w:t>
      </w:r>
    </w:p>
    <w:p w14:paraId="4634BDF5" w14:textId="3FDF8F2B" w:rsidR="00DD02E5" w:rsidRPr="007A5218" w:rsidRDefault="00DD02E5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7A5218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706844A1" w14:textId="77777777" w:rsidR="00DD02E5" w:rsidRPr="00F20E93" w:rsidRDefault="00DD02E5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20E93">
        <w:rPr>
          <w:rFonts w:ascii="Times New Roman" w:hAnsi="Times New Roman" w:cs="Times New Roman"/>
          <w:sz w:val="24"/>
          <w:szCs w:val="24"/>
        </w:rPr>
        <w:t>Проект стандарта соответствуют законодательству Российской Федерации.</w:t>
      </w:r>
    </w:p>
    <w:p w14:paraId="6B1DD284" w14:textId="77777777" w:rsidR="00DD02E5" w:rsidRDefault="00DD02E5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20E93">
        <w:rPr>
          <w:rFonts w:ascii="Times New Roman" w:hAnsi="Times New Roman" w:cs="Times New Roman"/>
          <w:sz w:val="24"/>
          <w:szCs w:val="24"/>
        </w:rPr>
        <w:t xml:space="preserve">Проект стандарта и документация к нему оформлены в соответствии со </w:t>
      </w:r>
      <w:r w:rsidR="00733D7D" w:rsidRPr="007A5218">
        <w:rPr>
          <w:rFonts w:ascii="Times New Roman" w:hAnsi="Times New Roman" w:cs="Times New Roman"/>
          <w:sz w:val="24"/>
          <w:szCs w:val="24"/>
        </w:rPr>
        <w:t xml:space="preserve">стандартами </w:t>
      </w:r>
      <w:r w:rsidR="00913EE3">
        <w:rPr>
          <w:rFonts w:ascii="Times New Roman" w:hAnsi="Times New Roman" w:cs="Times New Roman"/>
          <w:sz w:val="24"/>
          <w:szCs w:val="24"/>
        </w:rPr>
        <w:t>национальной системы стандартизации (Н</w:t>
      </w:r>
      <w:r w:rsidR="00733D7D" w:rsidRPr="007A5218">
        <w:rPr>
          <w:rFonts w:ascii="Times New Roman" w:hAnsi="Times New Roman" w:cs="Times New Roman"/>
          <w:sz w:val="24"/>
          <w:szCs w:val="24"/>
        </w:rPr>
        <w:t>СС)</w:t>
      </w:r>
      <w:r w:rsidRPr="00F20E93">
        <w:rPr>
          <w:rFonts w:ascii="Times New Roman" w:hAnsi="Times New Roman" w:cs="Times New Roman"/>
          <w:sz w:val="24"/>
          <w:szCs w:val="24"/>
        </w:rPr>
        <w:t xml:space="preserve"> и нормативными актами Росстандарта.</w:t>
      </w:r>
    </w:p>
    <w:p w14:paraId="7221FFDF" w14:textId="77777777" w:rsidR="007A5218" w:rsidRDefault="007A5218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1D61F9D6" w14:textId="77777777" w:rsidR="007A5218" w:rsidRPr="00386FE1" w:rsidRDefault="007A5218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52BA48E7" w14:textId="77777777" w:rsidR="00DD02E5" w:rsidRPr="007A5218" w:rsidRDefault="007A5218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7A5218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8F2214">
        <w:rPr>
          <w:rFonts w:ascii="Times New Roman" w:hAnsi="Times New Roman" w:cs="Times New Roman"/>
          <w:b/>
          <w:sz w:val="24"/>
          <w:szCs w:val="24"/>
        </w:rPr>
        <w:t>при наличии</w:t>
      </w:r>
      <w:r w:rsidR="00DD02E5" w:rsidRPr="007A5218">
        <w:rPr>
          <w:rFonts w:ascii="Times New Roman" w:hAnsi="Times New Roman" w:cs="Times New Roman"/>
          <w:b/>
          <w:sz w:val="24"/>
          <w:szCs w:val="24"/>
        </w:rPr>
        <w:t>)</w:t>
      </w:r>
    </w:p>
    <w:p w14:paraId="4F8BAEAB" w14:textId="77777777" w:rsidR="007A5218" w:rsidRPr="00386FE1" w:rsidRDefault="007A5218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3CB8AD6A" w14:textId="77777777" w:rsidR="00DD02E5" w:rsidRPr="00EE5848" w:rsidRDefault="007A5218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218"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7A5218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13E18670" w14:textId="74DD6775" w:rsidR="00DD02E5" w:rsidRDefault="00DD02E5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8551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B2D4F21" w14:textId="2D1006CD" w:rsidR="008551A4" w:rsidRPr="008551A4" w:rsidRDefault="008551A4" w:rsidP="008551A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51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9327 Бумага и изделия из бумаги. Потребительские форматы</w:t>
      </w:r>
    </w:p>
    <w:p w14:paraId="54416F2B" w14:textId="77777777" w:rsidR="008551A4" w:rsidRPr="008551A4" w:rsidRDefault="008551A4" w:rsidP="008551A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51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ISO 217 Бумага. Промышленные форматы листа</w:t>
      </w:r>
    </w:p>
    <w:p w14:paraId="6D5297B7" w14:textId="3F00E8A6" w:rsidR="008551A4" w:rsidRPr="008551A4" w:rsidRDefault="008551A4" w:rsidP="008551A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51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2.005 Единая система конструкторской документации. Термины и определения</w:t>
      </w:r>
    </w:p>
    <w:p w14:paraId="6CD6D85B" w14:textId="20E9EDEA" w:rsidR="008551A4" w:rsidRPr="00EE5848" w:rsidRDefault="008551A4" w:rsidP="008551A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51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2.104 Единая система конструкторской документации. Основные надписи</w:t>
      </w:r>
    </w:p>
    <w:p w14:paraId="4DEF42BD" w14:textId="77777777" w:rsidR="00DD02E5" w:rsidRPr="00EE5848" w:rsidRDefault="00DD02E5" w:rsidP="007A521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7A52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межгосударственного</w:t>
      </w:r>
      <w:r w:rsidR="007A52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</w:t>
      </w:r>
      <w:r w:rsidR="00B20976" w:rsidRPr="007A52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ГОСТ 2.301–68 (с изменениями 1, 2, 3)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="00B20976" w:rsidRPr="007A52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2.301–68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4EFB4061" w14:textId="77777777" w:rsidR="00F216F1" w:rsidRDefault="00F216F1" w:rsidP="00F216F1">
      <w:pPr>
        <w:widowControl w:val="0"/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17E19990" w14:textId="0AD2AC1C" w:rsidR="00F216F1" w:rsidRDefault="00F216F1" w:rsidP="00F216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="00783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07.11.2023г.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Дата начала публичного обсуждения – </w:t>
      </w:r>
      <w:r w:rsidR="00783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10.11.2023г</w:t>
      </w:r>
      <w:r w:rsidR="00AF56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публичного обсуждения – </w:t>
      </w:r>
      <w:r w:rsidR="00783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10.01.2024г.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Необходимый срок публичного обсуждения проекта ГОСТ Р соблюден.</w:t>
      </w:r>
    </w:p>
    <w:p w14:paraId="44CCF85D" w14:textId="4C674FF0" w:rsidR="00F216F1" w:rsidRDefault="00D96E91" w:rsidP="00F216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5BC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ходе рассмотрения первой редакции проекта ГОСТ Р поступили замечания и предложения от 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</w:t>
      </w:r>
      <w:r w:rsidRPr="00F85BC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организации. В отзывах 24 организаций замечания и предложения отсутствуют.</w:t>
      </w:r>
      <w:r w:rsidR="00F216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660D377" w14:textId="72E72833" w:rsidR="00F216F1" w:rsidRDefault="00D96E91" w:rsidP="00F216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05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46</w:t>
      </w:r>
      <w:r w:rsidRPr="007905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организаций: 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«Адмиралтейские верфи», </w:t>
      </w:r>
      <w:r w:rsidR="00EE3930" w:rsidRPr="001F48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«Вертолеты России»,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АО «КБП», АО «Композит», АО «Концерн «Созвездие», АО «Концерн ВКО «Алмаз-Антей», АО «Концерн НПО «Аврора», АО «НИИЭП», АО «НИПТБ «Онега», АО «НПК «КБМ», АО «НПО «Высокоточные комплексы», АО «НПО «Квант», АО «НПО «Электромашина»,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«НЦВ Миль и Камов»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«ПО «Севмаш»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«Северное ПКБ»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«Северо-западный региональный центр Концерна ВКО «Алмаз-Антей» - Обуховский завод»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«Системы управления»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«Туполев»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«УКБТМ»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«Коралл»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МТ «Рубин»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EE39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930" w:rsidRPr="00416C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«ЦНИИМФ»</w:t>
      </w:r>
      <w:r w:rsidR="00EE3930" w:rsidRPr="00141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EE39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«ЦНИИТОЧМАШ»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EE39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НПП «Респиратор»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EE39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Ассоциация «Объединение производителей железнодорожной техники»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В/ч 31800 Министерства обороны РФ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Научно-исследовательский испытательный центр (г. Москва) ЦНИИ ВКС МО РФ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НИЦ «Курчатовский институт»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ОКБ Сухого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«ОИЦ»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«Амурский судостроительный завод»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«ОДК-УМПО»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«РКК «Энергия»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1F48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«ОАК»,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ПКТИ «</w:t>
      </w:r>
      <w:proofErr w:type="spellStart"/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Атомармпроект</w:t>
      </w:r>
      <w:proofErr w:type="spellEnd"/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Союз «Объединение вагоностроителей»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«16 ЦНИИИ МО РФ»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EE39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3930" w:rsidRPr="00141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«21 Научно-исследовательский испытательный институт военной автомобильной техники» Министерства обороны РФ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ФГБУ «46 ЦНИИ» Минобороны России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«НИИЦ ЖДВ» Минобороны России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E3930" w:rsidRPr="003E1F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ФГУП «ВНИИ «Центр»</w:t>
      </w:r>
      <w:r w:rsidR="00EE3930" w:rsidRPr="00F41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B9D413D" w14:textId="68CF01B0" w:rsidR="00F216F1" w:rsidRDefault="00D96E91" w:rsidP="00F216F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629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229 полученных замечаний: принято – 130, принято частично – 9, отклонено – 21, принято к сведению – 69.</w:t>
      </w:r>
    </w:p>
    <w:p w14:paraId="2DDF6D67" w14:textId="1BE28BBF" w:rsidR="00F216F1" w:rsidRPr="00B87545" w:rsidRDefault="00F216F1" w:rsidP="00F216F1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87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Проект стандарта существенно доработан</w:t>
      </w:r>
      <w:r w:rsidR="00B87545" w:rsidRPr="00B87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замечаниям АО «ПО «Севмаш», АО «Северо-западный региональный центр Концерна ВКО «Алмаз-Антей» - Обуховский завод», Госкорпорация «Росатом», ФГУП «ВНИИ «Центр», АО «Туполев», ПАО «РКК «Энергия», Ассоциация «ОПЖТ», ПАО «Яковлев», Группа «ТМХ», АО «ЦКБ МТ «Рубин» и других. Из окончательной редакции исключена избыточная информация, уточнена терминология и улучшено изложение </w:t>
      </w:r>
      <w:r w:rsidR="00665C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текста</w:t>
      </w:r>
      <w:r w:rsidR="00B87545" w:rsidRPr="00B8754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стандарта.</w:t>
      </w:r>
    </w:p>
    <w:p w14:paraId="6EE03482" w14:textId="4E427515" w:rsidR="00DD02E5" w:rsidRPr="00EE5848" w:rsidRDefault="00F216F1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7A5218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A4B55FD" w14:textId="77777777" w:rsidR="00DD02E5" w:rsidRDefault="00DD02E5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272EA101" w14:textId="77777777" w:rsidR="007A5218" w:rsidRPr="007A5218" w:rsidRDefault="007A5218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A52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2.301–68 </w:t>
      </w:r>
      <w:r w:rsidRPr="007A5218">
        <w:rPr>
          <w:rFonts w:ascii="Times New Roman" w:hAnsi="Times New Roman" w:cs="Times New Roman"/>
          <w:sz w:val="24"/>
          <w:szCs w:val="24"/>
        </w:rPr>
        <w:t>Единая система конструкторской документации. Форматы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371E3" w14:textId="5AE1B97E" w:rsidR="00656D21" w:rsidRDefault="00B20976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096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9811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216:2007</w:t>
      </w:r>
      <w:r w:rsidR="00656D21" w:rsidRPr="005D0961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9811E6" w:rsidRPr="009811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Бумага писчая и некоторые виды печатной продукции. Потребительские форматы. Ряды А и В и указание машинного направления</w:t>
      </w:r>
      <w:r w:rsidR="007A5218" w:rsidRPr="009811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95FA81" w14:textId="5A5FCFB8" w:rsidR="008551A4" w:rsidRDefault="008551A4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5457:1999 </w:t>
      </w:r>
      <w:r w:rsidRPr="008551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Техническая документация на продукцию. Форматы и представление графических элементов на листах чертежной бумаги</w:t>
      </w:r>
      <w:r w:rsidR="00665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B0AD8C" w14:textId="03CC1C98" w:rsidR="00665CE1" w:rsidRPr="00665CE1" w:rsidRDefault="00665CE1" w:rsidP="008F2214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65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19112-78 Изделия из бумаги и картона. Технология. Термины и определения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94F918" w14:textId="77777777" w:rsidR="00DD02E5" w:rsidRPr="007A5218" w:rsidRDefault="007A5218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7A5218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3024C937" w14:textId="69B78A4F" w:rsidR="00DD02E5" w:rsidRDefault="00665CE1" w:rsidP="00DD02E5">
      <w:pPr>
        <w:widowControl w:val="0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Смежные ТК отсутствуют.</w:t>
      </w:r>
    </w:p>
    <w:p w14:paraId="0E47FF00" w14:textId="77777777" w:rsidR="00DD02E5" w:rsidRPr="007A5218" w:rsidRDefault="007A5218" w:rsidP="008F2214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7A5218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7528DE03" w14:textId="77777777" w:rsidR="008551A4" w:rsidRPr="00EC1615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3BDA0CC8" w14:textId="77777777" w:rsidR="008551A4" w:rsidRPr="00EC1615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37291984" w14:textId="77777777" w:rsidR="008551A4" w:rsidRPr="003B6A18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3EC4B405" w14:textId="77777777" w:rsidR="008551A4" w:rsidRPr="00EC1615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1B3B0035" w14:textId="77777777" w:rsidR="008551A4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4183A34E" w14:textId="77777777" w:rsidR="008551A4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CE0F" w14:textId="77777777" w:rsidR="008551A4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A16C6" w14:textId="6C7A90E3" w:rsidR="008551A4" w:rsidRPr="00EC1615" w:rsidRDefault="008551A4" w:rsidP="008551A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551A4" w14:paraId="60BD9DAF" w14:textId="77777777" w:rsidTr="00977FC7">
        <w:tc>
          <w:tcPr>
            <w:tcW w:w="4926" w:type="dxa"/>
            <w:hideMark/>
          </w:tcPr>
          <w:p w14:paraId="41E8978D" w14:textId="77777777" w:rsidR="008551A4" w:rsidRDefault="008551A4" w:rsidP="00977F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30ACC19" w14:textId="77777777" w:rsidR="008551A4" w:rsidRDefault="008551A4" w:rsidP="00977F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2044A6B0" w14:textId="77777777" w:rsidR="008551A4" w:rsidRDefault="008551A4" w:rsidP="00977FC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04BB6BFB" w14:textId="7F04FF60" w:rsidR="008551A4" w:rsidRDefault="008551A4" w:rsidP="00977F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A3EF2" w14:textId="77777777" w:rsidR="008551A4" w:rsidRDefault="008551A4" w:rsidP="00977F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65571F42" w14:textId="1C2FCB19" w:rsidR="008551A4" w:rsidRPr="00590350" w:rsidRDefault="008551A4" w:rsidP="008551A4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7EA5BD73" w14:textId="7F87FC58" w:rsidR="007A5218" w:rsidRPr="00EE5848" w:rsidRDefault="007A5218" w:rsidP="00DD02E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5218" w:rsidRPr="00EE5848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2CD9" w14:textId="77777777" w:rsidR="008E70E6" w:rsidRDefault="008E70E6" w:rsidP="001B611C">
      <w:pPr>
        <w:spacing w:after="0" w:line="240" w:lineRule="auto"/>
      </w:pPr>
      <w:r>
        <w:separator/>
      </w:r>
    </w:p>
  </w:endnote>
  <w:endnote w:type="continuationSeparator" w:id="0">
    <w:p w14:paraId="73A658D8" w14:textId="77777777" w:rsidR="008E70E6" w:rsidRDefault="008E70E6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941442"/>
      <w:docPartObj>
        <w:docPartGallery w:val="Page Numbers (Bottom of Page)"/>
        <w:docPartUnique/>
      </w:docPartObj>
    </w:sdtPr>
    <w:sdtEndPr/>
    <w:sdtContent>
      <w:p w14:paraId="7404493C" w14:textId="77777777" w:rsidR="007A5218" w:rsidRDefault="007A52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1E6">
          <w:rPr>
            <w:noProof/>
          </w:rPr>
          <w:t>2</w:t>
        </w:r>
        <w:r>
          <w:fldChar w:fldCharType="end"/>
        </w:r>
      </w:p>
    </w:sdtContent>
  </w:sdt>
  <w:p w14:paraId="637A8937" w14:textId="77777777" w:rsidR="007A5218" w:rsidRDefault="007A52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AD15" w14:textId="77777777" w:rsidR="008E70E6" w:rsidRDefault="008E70E6" w:rsidP="001B611C">
      <w:pPr>
        <w:spacing w:after="0" w:line="240" w:lineRule="auto"/>
      </w:pPr>
      <w:r>
        <w:separator/>
      </w:r>
    </w:p>
  </w:footnote>
  <w:footnote w:type="continuationSeparator" w:id="0">
    <w:p w14:paraId="76B668A1" w14:textId="77777777" w:rsidR="008E70E6" w:rsidRDefault="008E70E6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47E1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5506"/>
    <w:multiLevelType w:val="multilevel"/>
    <w:tmpl w:val="2154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5CDA"/>
    <w:rsid w:val="0001430C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F2738"/>
    <w:rsid w:val="00123D68"/>
    <w:rsid w:val="00140248"/>
    <w:rsid w:val="0015500D"/>
    <w:rsid w:val="00163591"/>
    <w:rsid w:val="00186AAE"/>
    <w:rsid w:val="00190101"/>
    <w:rsid w:val="00194816"/>
    <w:rsid w:val="001B611C"/>
    <w:rsid w:val="001D5B2E"/>
    <w:rsid w:val="00221AA9"/>
    <w:rsid w:val="00233BC1"/>
    <w:rsid w:val="00254E4F"/>
    <w:rsid w:val="002611EA"/>
    <w:rsid w:val="002A33F0"/>
    <w:rsid w:val="002A39F1"/>
    <w:rsid w:val="002D7E70"/>
    <w:rsid w:val="002E46FC"/>
    <w:rsid w:val="00310321"/>
    <w:rsid w:val="00312B2C"/>
    <w:rsid w:val="003300D2"/>
    <w:rsid w:val="00333999"/>
    <w:rsid w:val="003349CE"/>
    <w:rsid w:val="003633FA"/>
    <w:rsid w:val="00371196"/>
    <w:rsid w:val="003758E1"/>
    <w:rsid w:val="003970DB"/>
    <w:rsid w:val="003B19C3"/>
    <w:rsid w:val="003C618B"/>
    <w:rsid w:val="003E3791"/>
    <w:rsid w:val="003E540D"/>
    <w:rsid w:val="003E6D72"/>
    <w:rsid w:val="003F64F6"/>
    <w:rsid w:val="00404F92"/>
    <w:rsid w:val="0041508F"/>
    <w:rsid w:val="00415692"/>
    <w:rsid w:val="00416AF6"/>
    <w:rsid w:val="00423B52"/>
    <w:rsid w:val="0045214E"/>
    <w:rsid w:val="00455A39"/>
    <w:rsid w:val="00470229"/>
    <w:rsid w:val="004C60F2"/>
    <w:rsid w:val="004C7522"/>
    <w:rsid w:val="004D1986"/>
    <w:rsid w:val="004F0E2F"/>
    <w:rsid w:val="00512D43"/>
    <w:rsid w:val="00513D76"/>
    <w:rsid w:val="00524E46"/>
    <w:rsid w:val="0053174E"/>
    <w:rsid w:val="00532AA9"/>
    <w:rsid w:val="00583727"/>
    <w:rsid w:val="005A7BB9"/>
    <w:rsid w:val="005B2DA1"/>
    <w:rsid w:val="005C05BB"/>
    <w:rsid w:val="005C61FA"/>
    <w:rsid w:val="005D0961"/>
    <w:rsid w:val="005D6464"/>
    <w:rsid w:val="00611494"/>
    <w:rsid w:val="00622F62"/>
    <w:rsid w:val="00656D21"/>
    <w:rsid w:val="00660062"/>
    <w:rsid w:val="00665CE1"/>
    <w:rsid w:val="0067183B"/>
    <w:rsid w:val="006A5FEE"/>
    <w:rsid w:val="006B3198"/>
    <w:rsid w:val="006D7330"/>
    <w:rsid w:val="006F0273"/>
    <w:rsid w:val="007043A8"/>
    <w:rsid w:val="00733D7D"/>
    <w:rsid w:val="00746218"/>
    <w:rsid w:val="0076325B"/>
    <w:rsid w:val="00767345"/>
    <w:rsid w:val="00783090"/>
    <w:rsid w:val="007A1418"/>
    <w:rsid w:val="007A5218"/>
    <w:rsid w:val="007E0AAA"/>
    <w:rsid w:val="007E3E32"/>
    <w:rsid w:val="007E4CFB"/>
    <w:rsid w:val="00800C56"/>
    <w:rsid w:val="008209B0"/>
    <w:rsid w:val="00822F8E"/>
    <w:rsid w:val="00830FE6"/>
    <w:rsid w:val="00834C36"/>
    <w:rsid w:val="00840992"/>
    <w:rsid w:val="0085009A"/>
    <w:rsid w:val="008551A4"/>
    <w:rsid w:val="008606F2"/>
    <w:rsid w:val="00861DE4"/>
    <w:rsid w:val="008815BD"/>
    <w:rsid w:val="008A6CE9"/>
    <w:rsid w:val="008B79A7"/>
    <w:rsid w:val="008E70E6"/>
    <w:rsid w:val="008F0BB0"/>
    <w:rsid w:val="008F2214"/>
    <w:rsid w:val="008F2CA4"/>
    <w:rsid w:val="009021B7"/>
    <w:rsid w:val="00913EE3"/>
    <w:rsid w:val="00933FB4"/>
    <w:rsid w:val="00952B4D"/>
    <w:rsid w:val="00960CC3"/>
    <w:rsid w:val="009811E6"/>
    <w:rsid w:val="00987FD6"/>
    <w:rsid w:val="009958D5"/>
    <w:rsid w:val="009A0402"/>
    <w:rsid w:val="009A2976"/>
    <w:rsid w:val="009A6C4B"/>
    <w:rsid w:val="009A7E4A"/>
    <w:rsid w:val="009D7EFF"/>
    <w:rsid w:val="00A05508"/>
    <w:rsid w:val="00A074D4"/>
    <w:rsid w:val="00A12F78"/>
    <w:rsid w:val="00A30990"/>
    <w:rsid w:val="00A30B85"/>
    <w:rsid w:val="00A46667"/>
    <w:rsid w:val="00A46F69"/>
    <w:rsid w:val="00A6309D"/>
    <w:rsid w:val="00A82021"/>
    <w:rsid w:val="00A8260D"/>
    <w:rsid w:val="00A930C9"/>
    <w:rsid w:val="00AB3603"/>
    <w:rsid w:val="00AE2886"/>
    <w:rsid w:val="00AF5669"/>
    <w:rsid w:val="00B00D0C"/>
    <w:rsid w:val="00B06999"/>
    <w:rsid w:val="00B20976"/>
    <w:rsid w:val="00B246B9"/>
    <w:rsid w:val="00B31617"/>
    <w:rsid w:val="00B527C4"/>
    <w:rsid w:val="00B532F5"/>
    <w:rsid w:val="00B61484"/>
    <w:rsid w:val="00B65CE8"/>
    <w:rsid w:val="00B87545"/>
    <w:rsid w:val="00B9104F"/>
    <w:rsid w:val="00B93C4B"/>
    <w:rsid w:val="00BF33F5"/>
    <w:rsid w:val="00C17808"/>
    <w:rsid w:val="00C3317A"/>
    <w:rsid w:val="00C33A0B"/>
    <w:rsid w:val="00C356D6"/>
    <w:rsid w:val="00C51232"/>
    <w:rsid w:val="00C52152"/>
    <w:rsid w:val="00C62972"/>
    <w:rsid w:val="00C81A47"/>
    <w:rsid w:val="00C86644"/>
    <w:rsid w:val="00C877AA"/>
    <w:rsid w:val="00C906F9"/>
    <w:rsid w:val="00C92FC1"/>
    <w:rsid w:val="00D107CA"/>
    <w:rsid w:val="00D3793E"/>
    <w:rsid w:val="00D74320"/>
    <w:rsid w:val="00D85B49"/>
    <w:rsid w:val="00D96E91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576B7"/>
    <w:rsid w:val="00E60A42"/>
    <w:rsid w:val="00E77BB1"/>
    <w:rsid w:val="00EA310A"/>
    <w:rsid w:val="00EC1615"/>
    <w:rsid w:val="00ED4F04"/>
    <w:rsid w:val="00EE106D"/>
    <w:rsid w:val="00EE3930"/>
    <w:rsid w:val="00EE5848"/>
    <w:rsid w:val="00F12688"/>
    <w:rsid w:val="00F216F1"/>
    <w:rsid w:val="00F25E62"/>
    <w:rsid w:val="00F31ADC"/>
    <w:rsid w:val="00F31F57"/>
    <w:rsid w:val="00F4234A"/>
    <w:rsid w:val="00F77D53"/>
    <w:rsid w:val="00F809D5"/>
    <w:rsid w:val="00F87026"/>
    <w:rsid w:val="00F95E0E"/>
    <w:rsid w:val="00FA1BE2"/>
    <w:rsid w:val="00FA349E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27579"/>
  <w15:docId w15:val="{1D247030-72CC-4A00-91B8-1436B61A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7A5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1433-AE3D-4D55-AA78-46AFA0FC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26</cp:revision>
  <cp:lastPrinted>2025-09-22T08:03:00Z</cp:lastPrinted>
  <dcterms:created xsi:type="dcterms:W3CDTF">2023-10-02T13:47:00Z</dcterms:created>
  <dcterms:modified xsi:type="dcterms:W3CDTF">2025-09-22T08:03:00Z</dcterms:modified>
</cp:coreProperties>
</file>