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bottom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D3596" w:rsidRPr="00B079A1" w14:paraId="621C690D" w14:textId="77777777" w:rsidTr="00123A78">
        <w:tc>
          <w:tcPr>
            <w:tcW w:w="97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8F73CC" w14:textId="77777777" w:rsidR="00FD3596" w:rsidRPr="00646236" w:rsidRDefault="00FD3596" w:rsidP="0064623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caps/>
                <w:sz w:val="31"/>
                <w:szCs w:val="31"/>
              </w:rPr>
            </w:pPr>
            <w:r w:rsidRPr="00646236">
              <w:rPr>
                <w:rFonts w:eastAsia="Calibri"/>
                <w:caps/>
                <w:sz w:val="31"/>
                <w:szCs w:val="31"/>
              </w:rPr>
              <w:t>Федеральное агентство</w:t>
            </w:r>
          </w:p>
          <w:p w14:paraId="1F5A3127" w14:textId="77777777" w:rsidR="00FD3596" w:rsidRPr="00646236" w:rsidRDefault="00FD3596" w:rsidP="0064623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caps/>
                <w:sz w:val="31"/>
                <w:szCs w:val="31"/>
              </w:rPr>
            </w:pPr>
            <w:r w:rsidRPr="00B079A1">
              <w:rPr>
                <w:rFonts w:eastAsia="Calibri"/>
                <w:caps/>
                <w:sz w:val="31"/>
                <w:szCs w:val="31"/>
              </w:rPr>
              <w:t>по техническому регулированию и метрологии</w:t>
            </w:r>
          </w:p>
        </w:tc>
      </w:tr>
      <w:tr w:rsidR="00FD3596" w:rsidRPr="00B079A1" w14:paraId="7DDF8D7A" w14:textId="77777777" w:rsidTr="00123A78">
        <w:tc>
          <w:tcPr>
            <w:tcW w:w="9747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6F7074A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before="240" w:line="240" w:lineRule="auto"/>
              <w:jc w:val="center"/>
              <w:rPr>
                <w:rFonts w:eastAsia="Calibri"/>
                <w:b/>
                <w:spacing w:val="20"/>
                <w:sz w:val="30"/>
                <w:szCs w:val="30"/>
              </w:rPr>
            </w:pPr>
            <w:r w:rsidRPr="00B079A1">
              <w:rPr>
                <w:rFonts w:eastAsia="Calibri"/>
                <w:b/>
                <w:spacing w:val="20"/>
                <w:sz w:val="32"/>
                <w:szCs w:val="32"/>
              </w:rPr>
              <w:t>ТК 482 «Поддержка</w:t>
            </w:r>
            <w:r w:rsidRPr="00B079A1">
              <w:rPr>
                <w:rFonts w:eastAsia="Calibri"/>
                <w:b/>
                <w:spacing w:val="20"/>
                <w:sz w:val="30"/>
                <w:szCs w:val="30"/>
              </w:rPr>
              <w:t xml:space="preserve"> </w:t>
            </w:r>
            <w:r w:rsidRPr="00F64FD5">
              <w:rPr>
                <w:rFonts w:eastAsia="Calibri"/>
                <w:b/>
                <w:spacing w:val="20"/>
                <w:sz w:val="32"/>
                <w:szCs w:val="32"/>
              </w:rPr>
              <w:t>жизненного цикла продукции</w:t>
            </w:r>
            <w:r w:rsidRPr="00B079A1">
              <w:rPr>
                <w:rFonts w:eastAsia="Calibri"/>
                <w:b/>
                <w:spacing w:val="20"/>
                <w:sz w:val="30"/>
                <w:szCs w:val="30"/>
              </w:rPr>
              <w:t>»</w:t>
            </w:r>
          </w:p>
        </w:tc>
      </w:tr>
      <w:tr w:rsidR="00FD3596" w:rsidRPr="00B079A1" w14:paraId="0B5D8C14" w14:textId="77777777" w:rsidTr="00123A78">
        <w:trPr>
          <w:trHeight w:val="573"/>
        </w:trPr>
        <w:tc>
          <w:tcPr>
            <w:tcW w:w="9747" w:type="dxa"/>
            <w:tcBorders>
              <w:top w:val="nil"/>
            </w:tcBorders>
            <w:shd w:val="clear" w:color="auto" w:fill="auto"/>
            <w:vAlign w:val="center"/>
          </w:tcPr>
          <w:p w14:paraId="04437B3C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14:paraId="2BDB4E4B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B079A1">
              <w:rPr>
                <w:rFonts w:eastAsia="Calibri"/>
                <w:sz w:val="26"/>
                <w:szCs w:val="26"/>
              </w:rPr>
              <w:t>117418, Москва, Нахимовский проспект, д. 31, корп. 2</w:t>
            </w:r>
          </w:p>
          <w:p w14:paraId="17574E24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after="24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B079A1">
              <w:rPr>
                <w:rFonts w:eastAsia="Calibri"/>
                <w:sz w:val="26"/>
                <w:szCs w:val="26"/>
              </w:rPr>
              <w:t>Тел: +7 (495) 531-26-44</w:t>
            </w:r>
          </w:p>
        </w:tc>
      </w:tr>
    </w:tbl>
    <w:p w14:paraId="1ED39C4E" w14:textId="77777777" w:rsidR="000D3D86" w:rsidRDefault="000D3D86" w:rsidP="00194F18">
      <w:pPr>
        <w:spacing w:line="360" w:lineRule="auto"/>
        <w:ind w:firstLine="0"/>
        <w:jc w:val="center"/>
        <w:rPr>
          <w:rFonts w:ascii="Arial" w:hAnsi="Arial" w:cs="Arial"/>
          <w:b/>
        </w:rPr>
      </w:pPr>
    </w:p>
    <w:p w14:paraId="3720294A" w14:textId="77777777" w:rsidR="000D3D86" w:rsidRDefault="000D3D86" w:rsidP="00194F18">
      <w:pPr>
        <w:spacing w:line="360" w:lineRule="auto"/>
        <w:ind w:firstLine="0"/>
        <w:jc w:val="center"/>
        <w:rPr>
          <w:rFonts w:ascii="Arial" w:hAnsi="Arial" w:cs="Arial"/>
          <w:b/>
        </w:rPr>
      </w:pPr>
    </w:p>
    <w:p w14:paraId="67DCC443" w14:textId="77777777" w:rsidR="00194F18" w:rsidRPr="008F36DF" w:rsidRDefault="00194F18" w:rsidP="00034DAB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8F36DF">
        <w:rPr>
          <w:b/>
          <w:sz w:val="28"/>
          <w:szCs w:val="28"/>
        </w:rPr>
        <w:t>ЭКСПЕРТНОЕ ЗАКЛЮЧЕНИЕ</w:t>
      </w:r>
    </w:p>
    <w:p w14:paraId="1B622A04" w14:textId="77777777" w:rsidR="00261444" w:rsidRPr="00640E10" w:rsidRDefault="00FF4361" w:rsidP="00034DAB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640E10">
        <w:rPr>
          <w:b/>
          <w:sz w:val="28"/>
          <w:szCs w:val="28"/>
        </w:rPr>
        <w:t>на проект национального стандарта ГОСТ Р</w:t>
      </w:r>
    </w:p>
    <w:p w14:paraId="1FF28F9B" w14:textId="77777777" w:rsidR="00034DAB" w:rsidRPr="00640E10" w:rsidRDefault="00034DAB" w:rsidP="00034DAB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640E10">
        <w:rPr>
          <w:b/>
          <w:sz w:val="28"/>
          <w:szCs w:val="28"/>
        </w:rPr>
        <w:t xml:space="preserve">«Единая система конструкторской документации. </w:t>
      </w:r>
      <w:r w:rsidR="000B3276" w:rsidRPr="00640E10">
        <w:rPr>
          <w:b/>
          <w:sz w:val="28"/>
          <w:szCs w:val="28"/>
        </w:rPr>
        <w:t>Шрифты</w:t>
      </w:r>
      <w:r w:rsidRPr="00640E10">
        <w:rPr>
          <w:b/>
          <w:sz w:val="28"/>
          <w:szCs w:val="28"/>
        </w:rPr>
        <w:t xml:space="preserve">» </w:t>
      </w:r>
    </w:p>
    <w:p w14:paraId="377BF0F8" w14:textId="77777777" w:rsidR="00EE58D6" w:rsidRPr="00640E10" w:rsidRDefault="00EE58D6" w:rsidP="00261444">
      <w:pPr>
        <w:tabs>
          <w:tab w:val="left" w:pos="360"/>
        </w:tabs>
        <w:spacing w:after="120"/>
        <w:ind w:right="-340" w:firstLine="0"/>
        <w:jc w:val="center"/>
        <w:rPr>
          <w:b/>
          <w:sz w:val="28"/>
          <w:szCs w:val="28"/>
        </w:rPr>
      </w:pPr>
    </w:p>
    <w:p w14:paraId="28D834C2" w14:textId="77777777" w:rsidR="00194F18" w:rsidRPr="00640E10" w:rsidRDefault="00194F18" w:rsidP="00194F18">
      <w:pPr>
        <w:spacing w:line="360" w:lineRule="auto"/>
        <w:ind w:firstLine="0"/>
        <w:rPr>
          <w:sz w:val="28"/>
          <w:szCs w:val="28"/>
        </w:rPr>
      </w:pPr>
      <w:r w:rsidRPr="00640E10">
        <w:rPr>
          <w:sz w:val="28"/>
          <w:szCs w:val="28"/>
        </w:rPr>
        <w:t xml:space="preserve">г. Москва                                                          </w:t>
      </w:r>
      <w:r w:rsidR="008F36DF" w:rsidRPr="00640E10">
        <w:rPr>
          <w:sz w:val="28"/>
          <w:szCs w:val="28"/>
        </w:rPr>
        <w:t xml:space="preserve">                       </w:t>
      </w:r>
      <w:r w:rsidR="00E72305" w:rsidRPr="00640E10">
        <w:rPr>
          <w:sz w:val="28"/>
          <w:szCs w:val="28"/>
        </w:rPr>
        <w:t xml:space="preserve">                  </w:t>
      </w:r>
      <w:r w:rsidR="00DA1E5B" w:rsidRPr="00640E10">
        <w:rPr>
          <w:sz w:val="28"/>
          <w:szCs w:val="28"/>
        </w:rPr>
        <w:t xml:space="preserve"> </w:t>
      </w:r>
      <w:r w:rsidR="00286639" w:rsidRPr="00640E10">
        <w:rPr>
          <w:sz w:val="28"/>
          <w:szCs w:val="28"/>
        </w:rPr>
        <w:t xml:space="preserve"> </w:t>
      </w:r>
      <w:r w:rsidR="00E72305" w:rsidRPr="00640E10">
        <w:rPr>
          <w:sz w:val="28"/>
          <w:szCs w:val="28"/>
        </w:rPr>
        <w:t>(проект)</w:t>
      </w:r>
    </w:p>
    <w:p w14:paraId="096CC814" w14:textId="77777777" w:rsidR="00194F18" w:rsidRPr="00640E10" w:rsidRDefault="00194F18" w:rsidP="00194F18">
      <w:pPr>
        <w:spacing w:line="360" w:lineRule="auto"/>
        <w:ind w:firstLine="0"/>
        <w:rPr>
          <w:sz w:val="28"/>
          <w:szCs w:val="28"/>
        </w:rPr>
      </w:pPr>
    </w:p>
    <w:p w14:paraId="2D445353" w14:textId="77777777" w:rsidR="00FF4361" w:rsidRPr="00A30330" w:rsidRDefault="00FF4361" w:rsidP="0005449D">
      <w:pPr>
        <w:spacing w:line="360" w:lineRule="auto"/>
        <w:ind w:firstLine="708"/>
        <w:rPr>
          <w:sz w:val="28"/>
          <w:szCs w:val="28"/>
        </w:rPr>
      </w:pPr>
      <w:r w:rsidRPr="00640E10">
        <w:rPr>
          <w:color w:val="000000"/>
          <w:spacing w:val="-1"/>
          <w:sz w:val="28"/>
          <w:szCs w:val="28"/>
        </w:rPr>
        <w:t xml:space="preserve">Проект национального стандарта </w:t>
      </w:r>
      <w:r w:rsidRPr="00640E10">
        <w:rPr>
          <w:sz w:val="28"/>
          <w:szCs w:val="28"/>
        </w:rPr>
        <w:t xml:space="preserve">ГОСТ Р </w:t>
      </w:r>
      <w:r w:rsidR="00034DAB" w:rsidRPr="00640E10">
        <w:rPr>
          <w:sz w:val="28"/>
          <w:szCs w:val="28"/>
        </w:rPr>
        <w:t xml:space="preserve">«Единая система конструкторской документации. </w:t>
      </w:r>
      <w:r w:rsidR="000B3276" w:rsidRPr="00640E10">
        <w:rPr>
          <w:sz w:val="28"/>
          <w:szCs w:val="28"/>
        </w:rPr>
        <w:t>Шрифты</w:t>
      </w:r>
      <w:r w:rsidR="00034DAB" w:rsidRPr="00640E10">
        <w:rPr>
          <w:sz w:val="28"/>
          <w:szCs w:val="28"/>
        </w:rPr>
        <w:t xml:space="preserve">» </w:t>
      </w:r>
      <w:r w:rsidRPr="00640E10">
        <w:rPr>
          <w:sz w:val="28"/>
          <w:szCs w:val="28"/>
        </w:rPr>
        <w:t>(далее – проект стандарта)</w:t>
      </w:r>
      <w:r w:rsidRPr="00640E10">
        <w:rPr>
          <w:spacing w:val="-1"/>
          <w:sz w:val="28"/>
          <w:szCs w:val="28"/>
        </w:rPr>
        <w:t xml:space="preserve"> </w:t>
      </w:r>
      <w:r w:rsidRPr="00640E10">
        <w:rPr>
          <w:sz w:val="28"/>
          <w:szCs w:val="28"/>
        </w:rPr>
        <w:t>разработан Акционерным обществом «Научно-исследовательский центр</w:t>
      </w:r>
      <w:r w:rsidRPr="00A30330">
        <w:rPr>
          <w:sz w:val="28"/>
          <w:szCs w:val="28"/>
        </w:rPr>
        <w:t xml:space="preserve"> «Прикладная </w:t>
      </w:r>
      <w:r w:rsidR="00E72305">
        <w:rPr>
          <w:sz w:val="28"/>
          <w:szCs w:val="28"/>
        </w:rPr>
        <w:t>л</w:t>
      </w:r>
      <w:r w:rsidRPr="00A30330">
        <w:rPr>
          <w:sz w:val="28"/>
          <w:szCs w:val="28"/>
        </w:rPr>
        <w:t xml:space="preserve">огистика» (АО НИЦ «Прикладная </w:t>
      </w:r>
      <w:r w:rsidR="00E72305">
        <w:rPr>
          <w:sz w:val="28"/>
          <w:szCs w:val="28"/>
        </w:rPr>
        <w:t>л</w:t>
      </w:r>
      <w:r w:rsidRPr="00A30330">
        <w:rPr>
          <w:sz w:val="28"/>
          <w:szCs w:val="28"/>
        </w:rPr>
        <w:t>огистика»)</w:t>
      </w:r>
      <w:r w:rsidR="00910641" w:rsidRPr="00A30330">
        <w:rPr>
          <w:sz w:val="28"/>
          <w:szCs w:val="28"/>
        </w:rPr>
        <w:t xml:space="preserve"> </w:t>
      </w:r>
      <w:r w:rsidRPr="00A30330">
        <w:rPr>
          <w:sz w:val="28"/>
          <w:szCs w:val="28"/>
        </w:rPr>
        <w:t>в рамках деятельности ТК 482 «</w:t>
      </w:r>
      <w:r w:rsidRPr="00A30330">
        <w:rPr>
          <w:rFonts w:eastAsia="Calibri"/>
          <w:sz w:val="28"/>
          <w:szCs w:val="28"/>
        </w:rPr>
        <w:t>Поддержка жизненного цикла продукции</w:t>
      </w:r>
      <w:r w:rsidR="00034DAB">
        <w:rPr>
          <w:rFonts w:eastAsia="Calibri"/>
          <w:sz w:val="28"/>
          <w:szCs w:val="28"/>
        </w:rPr>
        <w:t>»</w:t>
      </w:r>
      <w:r w:rsidR="00034DAB" w:rsidRPr="00034DAB">
        <w:rPr>
          <w:rFonts w:eastAsia="Calibri"/>
          <w:sz w:val="28"/>
          <w:szCs w:val="28"/>
        </w:rPr>
        <w:t xml:space="preserve"> на основании Программы национальной стандартизации на 202</w:t>
      </w:r>
      <w:r w:rsidR="00361B11">
        <w:rPr>
          <w:rFonts w:eastAsia="Calibri"/>
          <w:sz w:val="28"/>
          <w:szCs w:val="28"/>
        </w:rPr>
        <w:t>3</w:t>
      </w:r>
      <w:r w:rsidR="00034DAB" w:rsidRPr="00034DAB">
        <w:rPr>
          <w:rFonts w:eastAsia="Calibri"/>
          <w:sz w:val="28"/>
          <w:szCs w:val="28"/>
        </w:rPr>
        <w:t xml:space="preserve"> </w:t>
      </w:r>
      <w:r w:rsidR="00E72305">
        <w:rPr>
          <w:rFonts w:eastAsia="Calibri"/>
          <w:sz w:val="28"/>
          <w:szCs w:val="28"/>
        </w:rPr>
        <w:t xml:space="preserve">– 2026 </w:t>
      </w:r>
      <w:r w:rsidR="00034DAB" w:rsidRPr="00034DAB">
        <w:rPr>
          <w:rFonts w:eastAsia="Calibri"/>
          <w:sz w:val="28"/>
          <w:szCs w:val="28"/>
        </w:rPr>
        <w:t>г</w:t>
      </w:r>
      <w:r w:rsidR="00E72305">
        <w:rPr>
          <w:rFonts w:eastAsia="Calibri"/>
          <w:sz w:val="28"/>
          <w:szCs w:val="28"/>
        </w:rPr>
        <w:t>г</w:t>
      </w:r>
      <w:r w:rsidR="00034DAB" w:rsidRPr="00034DAB">
        <w:rPr>
          <w:rFonts w:eastAsia="Calibri"/>
          <w:sz w:val="28"/>
          <w:szCs w:val="28"/>
        </w:rPr>
        <w:t>. (шифр темы 1.0.482-1.0</w:t>
      </w:r>
      <w:r w:rsidR="00361B11">
        <w:rPr>
          <w:rFonts w:eastAsia="Calibri"/>
          <w:sz w:val="28"/>
          <w:szCs w:val="28"/>
        </w:rPr>
        <w:t>6</w:t>
      </w:r>
      <w:r w:rsidR="000B3276">
        <w:rPr>
          <w:rFonts w:eastAsia="Calibri"/>
          <w:sz w:val="28"/>
          <w:szCs w:val="28"/>
        </w:rPr>
        <w:t>5</w:t>
      </w:r>
      <w:r w:rsidR="00034DAB" w:rsidRPr="00034DAB">
        <w:rPr>
          <w:rFonts w:eastAsia="Calibri"/>
          <w:sz w:val="28"/>
          <w:szCs w:val="28"/>
        </w:rPr>
        <w:t xml:space="preserve">.23) </w:t>
      </w:r>
      <w:bookmarkStart w:id="0" w:name="_Hlk224721032"/>
      <w:r w:rsidR="00E72305" w:rsidRPr="00097096">
        <w:rPr>
          <w:sz w:val="28"/>
          <w:szCs w:val="28"/>
        </w:rPr>
        <w:t>и договора 25209.442019.06.002/ЦСИСОП/09дсп от 2 сентября 2025 (идентификатор государственного контракта 1770559633925Z000511).</w:t>
      </w:r>
      <w:bookmarkEnd w:id="0"/>
    </w:p>
    <w:p w14:paraId="313D6980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Экспертиза проекта стандарта проведена в соответствии с ГОСТ Р</w:t>
      </w:r>
      <w:r w:rsidR="00927F6F">
        <w:rPr>
          <w:sz w:val="28"/>
          <w:szCs w:val="28"/>
        </w:rPr>
        <w:t xml:space="preserve"> 1.6‒2013 «Стандартизация в Российской Ф</w:t>
      </w:r>
      <w:r w:rsidRPr="008F36DF">
        <w:rPr>
          <w:sz w:val="28"/>
          <w:szCs w:val="28"/>
        </w:rPr>
        <w:t>едерации. Проекты стандартов. Правила организации и проведения экспертизы».</w:t>
      </w:r>
    </w:p>
    <w:p w14:paraId="1C051EE1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В отношении проекта стандарта выполнена экспертиза, включая:</w:t>
      </w:r>
    </w:p>
    <w:p w14:paraId="0B7E6D3E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оценку соответствия проекта стандарта целям и задачам, установленным в статье 3 Федерального закона «О стандартизации в</w:t>
      </w:r>
      <w:r w:rsidR="00FF4361" w:rsidRPr="008F36DF">
        <w:rPr>
          <w:sz w:val="28"/>
          <w:szCs w:val="28"/>
        </w:rPr>
        <w:t xml:space="preserve"> Российской Федерации» от 29 июня </w:t>
      </w:r>
      <w:r w:rsidRPr="008F36DF">
        <w:rPr>
          <w:sz w:val="28"/>
          <w:szCs w:val="28"/>
        </w:rPr>
        <w:t>2015</w:t>
      </w:r>
      <w:r w:rsidR="00FF4361" w:rsidRPr="008F36DF">
        <w:rPr>
          <w:sz w:val="28"/>
          <w:szCs w:val="28"/>
        </w:rPr>
        <w:t xml:space="preserve"> г.</w:t>
      </w:r>
      <w:r w:rsidRPr="008F36DF">
        <w:rPr>
          <w:sz w:val="28"/>
          <w:szCs w:val="28"/>
        </w:rPr>
        <w:t xml:space="preserve"> № 162-ФЗ;</w:t>
      </w:r>
    </w:p>
    <w:p w14:paraId="0C318C4A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 xml:space="preserve">проверку используемой в проекте стандарта терминологии на соответствие требованиям законодательства Российской Федерации; </w:t>
      </w:r>
    </w:p>
    <w:p w14:paraId="63DF9F2A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lastRenderedPageBreak/>
        <w:t>проверку соответствия проекта стандарта правилам, установленным в основополагающих национальных стандартах Российской Федерации;</w:t>
      </w:r>
    </w:p>
    <w:p w14:paraId="14E9F583" w14:textId="77777777" w:rsidR="00194F18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оценку полноты установления в проекте стандарта требований к объекту стандартизации</w:t>
      </w:r>
      <w:r w:rsidR="00E72305">
        <w:rPr>
          <w:sz w:val="28"/>
          <w:szCs w:val="28"/>
        </w:rPr>
        <w:t>, касающихся рассматриваемого в стандарте аспекта</w:t>
      </w:r>
      <w:r w:rsidRPr="008F36DF">
        <w:rPr>
          <w:sz w:val="28"/>
          <w:szCs w:val="28"/>
        </w:rPr>
        <w:t>.</w:t>
      </w:r>
    </w:p>
    <w:p w14:paraId="6E7C619A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Проект стандарта разработан в соответствии с основными положениями Федерального закона от </w:t>
      </w:r>
      <w:r w:rsidR="00FF4361" w:rsidRPr="008F36DF">
        <w:rPr>
          <w:sz w:val="28"/>
          <w:szCs w:val="28"/>
        </w:rPr>
        <w:t xml:space="preserve">29 июня 2015 г. </w:t>
      </w:r>
      <w:r w:rsidRPr="008F36DF">
        <w:rPr>
          <w:sz w:val="28"/>
          <w:szCs w:val="28"/>
        </w:rPr>
        <w:t>№ 162-ФЗ «О стандартизации в Российской Федерации» и основополагающими национальными стандартами Российской Федерации.</w:t>
      </w:r>
    </w:p>
    <w:p w14:paraId="34B947EF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Проект стандарта не противоречит директивным документам по стандартизации Федерального агентства по техническому регулированию и метрологии (Росстандарта), требованиям технических регламентов, а также национальных стандартов, разработанных для содействия соблюдению требований технических регламентов.</w:t>
      </w:r>
    </w:p>
    <w:p w14:paraId="43096062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Проект стандарта не противоречит основным положениям международных договоров (соглашений), участником которых является Российская Федерация. </w:t>
      </w:r>
    </w:p>
    <w:p w14:paraId="59C37128" w14:textId="77777777" w:rsidR="00194F18" w:rsidRPr="008F36DF" w:rsidRDefault="00194F18" w:rsidP="00286639">
      <w:pPr>
        <w:spacing w:line="360" w:lineRule="auto"/>
        <w:ind w:firstLine="708"/>
        <w:rPr>
          <w:sz w:val="28"/>
          <w:szCs w:val="28"/>
        </w:rPr>
      </w:pPr>
      <w:r w:rsidRPr="00170135">
        <w:rPr>
          <w:sz w:val="28"/>
          <w:szCs w:val="28"/>
        </w:rPr>
        <w:t>Проект стандарта разработан с учетом национальных стандартов общетехнических систем, а также других национальных стандартов, распространяющихся на данный объект стандартизации.</w:t>
      </w:r>
    </w:p>
    <w:p w14:paraId="39D8F867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Разработанный </w:t>
      </w:r>
      <w:r w:rsidR="00A30330">
        <w:rPr>
          <w:sz w:val="28"/>
          <w:szCs w:val="28"/>
        </w:rPr>
        <w:t xml:space="preserve">проект </w:t>
      </w:r>
      <w:r w:rsidRPr="008F36DF">
        <w:rPr>
          <w:sz w:val="28"/>
          <w:szCs w:val="28"/>
        </w:rPr>
        <w:t>стандарт</w:t>
      </w:r>
      <w:r w:rsidR="00A30330">
        <w:rPr>
          <w:sz w:val="28"/>
          <w:szCs w:val="28"/>
        </w:rPr>
        <w:t>а</w:t>
      </w:r>
      <w:r w:rsidRPr="008F36DF">
        <w:rPr>
          <w:sz w:val="28"/>
          <w:szCs w:val="28"/>
        </w:rPr>
        <w:t xml:space="preserve"> соответствует современному уровню развития науки, техники и технологий, передовому отечественному и зарубежному опыту.</w:t>
      </w:r>
    </w:p>
    <w:p w14:paraId="53BE5E55" w14:textId="77777777" w:rsidR="00214F35" w:rsidRPr="00214F35" w:rsidRDefault="00214F35" w:rsidP="00214F35">
      <w:pPr>
        <w:spacing w:line="360" w:lineRule="auto"/>
        <w:ind w:firstLine="708"/>
        <w:rPr>
          <w:sz w:val="28"/>
          <w:szCs w:val="28"/>
        </w:rPr>
      </w:pPr>
      <w:r w:rsidRPr="00765F6C">
        <w:rPr>
          <w:sz w:val="28"/>
          <w:szCs w:val="28"/>
        </w:rPr>
        <w:t>Проект ГОСТ Р разработан с целью установления</w:t>
      </w:r>
      <w:r w:rsidR="000B3276" w:rsidRPr="00765F6C">
        <w:rPr>
          <w:sz w:val="28"/>
          <w:szCs w:val="28"/>
        </w:rPr>
        <w:t xml:space="preserve"> </w:t>
      </w:r>
      <w:r w:rsidR="00E72305" w:rsidRPr="00765F6C">
        <w:rPr>
          <w:sz w:val="28"/>
          <w:szCs w:val="28"/>
        </w:rPr>
        <w:t>требований к</w:t>
      </w:r>
      <w:r w:rsidR="00E72305">
        <w:rPr>
          <w:sz w:val="28"/>
          <w:szCs w:val="28"/>
        </w:rPr>
        <w:t xml:space="preserve"> компьютерным шрифтам, применяемым при разработке конструкторских документов (КД), а также требований к надписям в графических КД и электронных геометрических моделях (выполняемым вручную или с использованием компьютерных шрифтов).</w:t>
      </w:r>
    </w:p>
    <w:p w14:paraId="4935D7B1" w14:textId="77777777" w:rsidR="00E72305" w:rsidRPr="00E72305" w:rsidRDefault="00214F35" w:rsidP="00E72305">
      <w:pPr>
        <w:spacing w:line="360" w:lineRule="auto"/>
        <w:ind w:firstLine="708"/>
        <w:rPr>
          <w:sz w:val="28"/>
          <w:szCs w:val="28"/>
        </w:rPr>
      </w:pPr>
      <w:r w:rsidRPr="00E72305">
        <w:rPr>
          <w:sz w:val="28"/>
          <w:szCs w:val="28"/>
        </w:rPr>
        <w:t>Стандарт является развитием действующего ГОСТ 2.</w:t>
      </w:r>
      <w:r w:rsidR="002A7D1C" w:rsidRPr="00E72305">
        <w:rPr>
          <w:sz w:val="28"/>
          <w:szCs w:val="28"/>
        </w:rPr>
        <w:t>30</w:t>
      </w:r>
      <w:r w:rsidR="000B3276" w:rsidRPr="00E72305">
        <w:rPr>
          <w:sz w:val="28"/>
          <w:szCs w:val="28"/>
        </w:rPr>
        <w:t>4</w:t>
      </w:r>
      <w:r w:rsidRPr="00E72305">
        <w:rPr>
          <w:sz w:val="28"/>
          <w:szCs w:val="28"/>
        </w:rPr>
        <w:t>–</w:t>
      </w:r>
      <w:r w:rsidR="00E72305" w:rsidRPr="00E72305">
        <w:rPr>
          <w:sz w:val="28"/>
          <w:szCs w:val="28"/>
        </w:rPr>
        <w:t>81</w:t>
      </w:r>
      <w:r w:rsidR="002A7D1C" w:rsidRPr="00E72305">
        <w:rPr>
          <w:sz w:val="28"/>
          <w:szCs w:val="28"/>
        </w:rPr>
        <w:t xml:space="preserve"> </w:t>
      </w:r>
      <w:r w:rsidRPr="00E72305">
        <w:rPr>
          <w:sz w:val="28"/>
          <w:szCs w:val="28"/>
        </w:rPr>
        <w:t>и разрабатывается в составе пакета новых редакций ГОСТ Р ЕСКД.</w:t>
      </w:r>
      <w:r w:rsidR="00E72305">
        <w:rPr>
          <w:sz w:val="28"/>
          <w:szCs w:val="28"/>
        </w:rPr>
        <w:t xml:space="preserve"> </w:t>
      </w:r>
      <w:r w:rsidR="00E72305" w:rsidRPr="00E72305">
        <w:rPr>
          <w:sz w:val="28"/>
          <w:szCs w:val="28"/>
        </w:rPr>
        <w:lastRenderedPageBreak/>
        <w:t xml:space="preserve">Действующий ГОСТ 2.304-81 был разработан исходя из необходимости установления требований к чертежным шрифтам, используемым преимущественно при нанесении текста на чертеж вручную. В настоящее время конструкторская документация (предназначенная для дальнейшего использования как в бумажном, так и в электронном виде) разрабатывается с использованием компьютеров: при разработке текстовых и графических документов и электронных геометрических моделей используются программные средства разных видов. </w:t>
      </w:r>
    </w:p>
    <w:p w14:paraId="31A081F6" w14:textId="77777777" w:rsidR="00E72305" w:rsidRDefault="00E72305" w:rsidP="00E72305">
      <w:pPr>
        <w:spacing w:line="360" w:lineRule="auto"/>
        <w:ind w:firstLine="708"/>
        <w:rPr>
          <w:sz w:val="28"/>
          <w:szCs w:val="28"/>
        </w:rPr>
      </w:pPr>
      <w:r w:rsidRPr="00E72305">
        <w:rPr>
          <w:sz w:val="28"/>
          <w:szCs w:val="28"/>
        </w:rPr>
        <w:t xml:space="preserve">ГОСТ 2.304-81 был основан на международном стандарте ISO 3098, который в настоящее время действует в версии от 2015 года. ISO 3098:2015 имеет объектом стандартизации понятие «Lettering», которое на русский язык более правильно перевести как «надпись», а не как «шрифт» (понятие, которое было применено в ГОСТ 2.304-81). </w:t>
      </w:r>
    </w:p>
    <w:p w14:paraId="75A679FA" w14:textId="77777777" w:rsidR="00E72305" w:rsidRPr="00E72305" w:rsidRDefault="00E72305" w:rsidP="00E72305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Для соответствия наименованию стандарта в раздел 3 включены общие требований к шрифтам, применяемым в КД – как к н</w:t>
      </w:r>
      <w:r w:rsidRPr="00E72305">
        <w:rPr>
          <w:sz w:val="28"/>
          <w:szCs w:val="28"/>
        </w:rPr>
        <w:t>абор</w:t>
      </w:r>
      <w:r>
        <w:rPr>
          <w:sz w:val="28"/>
          <w:szCs w:val="28"/>
        </w:rPr>
        <w:t>у</w:t>
      </w:r>
      <w:r w:rsidRPr="00E72305">
        <w:rPr>
          <w:sz w:val="28"/>
          <w:szCs w:val="28"/>
        </w:rPr>
        <w:t xml:space="preserve"> данных для компьютера, имеющ</w:t>
      </w:r>
      <w:r>
        <w:rPr>
          <w:sz w:val="28"/>
          <w:szCs w:val="28"/>
        </w:rPr>
        <w:t>его</w:t>
      </w:r>
      <w:r w:rsidRPr="00E72305">
        <w:rPr>
          <w:sz w:val="28"/>
          <w:szCs w:val="28"/>
        </w:rPr>
        <w:t xml:space="preserve"> множество параметров и попадающ</w:t>
      </w:r>
      <w:r>
        <w:rPr>
          <w:sz w:val="28"/>
          <w:szCs w:val="28"/>
        </w:rPr>
        <w:t>его</w:t>
      </w:r>
      <w:r w:rsidRPr="00E72305">
        <w:rPr>
          <w:sz w:val="28"/>
          <w:szCs w:val="28"/>
        </w:rPr>
        <w:t xml:space="preserve"> под действие авторского права. </w:t>
      </w:r>
      <w:r>
        <w:rPr>
          <w:sz w:val="28"/>
          <w:szCs w:val="28"/>
        </w:rPr>
        <w:t>В</w:t>
      </w:r>
      <w:r w:rsidRPr="00E72305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 xml:space="preserve"> 4</w:t>
      </w:r>
      <w:r w:rsidRPr="00E723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перенесены требования к </w:t>
      </w:r>
      <w:r w:rsidRPr="00E72305">
        <w:rPr>
          <w:sz w:val="28"/>
          <w:szCs w:val="28"/>
        </w:rPr>
        <w:t>выполнению надписей в графических КД и электронных геометрических моделях</w:t>
      </w:r>
      <w:r>
        <w:rPr>
          <w:sz w:val="28"/>
          <w:szCs w:val="28"/>
        </w:rPr>
        <w:t>, без существенных отличий от действующего стандарта</w:t>
      </w:r>
      <w:r w:rsidRPr="00E72305">
        <w:rPr>
          <w:sz w:val="28"/>
          <w:szCs w:val="28"/>
        </w:rPr>
        <w:t>.</w:t>
      </w:r>
    </w:p>
    <w:p w14:paraId="0EA27431" w14:textId="77777777" w:rsidR="00E72305" w:rsidRPr="00E72305" w:rsidRDefault="00E72305" w:rsidP="00E72305">
      <w:pPr>
        <w:spacing w:line="360" w:lineRule="auto"/>
        <w:ind w:firstLine="708"/>
        <w:rPr>
          <w:sz w:val="28"/>
          <w:szCs w:val="28"/>
        </w:rPr>
      </w:pPr>
      <w:r w:rsidRPr="00E72305">
        <w:rPr>
          <w:sz w:val="28"/>
          <w:szCs w:val="28"/>
        </w:rPr>
        <w:t>ГОСТ Р 2.304 в обязательном приложении содержит коды Unicode для основного набора символов, который должен поддерживаться шрифто</w:t>
      </w:r>
      <w:r w:rsidR="00765F6C">
        <w:rPr>
          <w:sz w:val="28"/>
          <w:szCs w:val="28"/>
        </w:rPr>
        <w:t>м</w:t>
      </w:r>
      <w:r w:rsidRPr="00E72305">
        <w:rPr>
          <w:sz w:val="28"/>
          <w:szCs w:val="28"/>
        </w:rPr>
        <w:t xml:space="preserve">, применяемым в КД. </w:t>
      </w:r>
      <w:r w:rsidR="00765F6C">
        <w:rPr>
          <w:sz w:val="28"/>
          <w:szCs w:val="28"/>
        </w:rPr>
        <w:t xml:space="preserve">Точное установление и использование кода символа должно обеспечить однозначную интерпретацию обозначений и других текстовых строк в машиночитаемых документах. </w:t>
      </w:r>
      <w:r w:rsidRPr="00E72305">
        <w:rPr>
          <w:sz w:val="28"/>
          <w:szCs w:val="28"/>
        </w:rPr>
        <w:t xml:space="preserve">Для понимания применяемых понятий в </w:t>
      </w:r>
      <w:r w:rsidR="00765F6C">
        <w:rPr>
          <w:sz w:val="28"/>
          <w:szCs w:val="28"/>
        </w:rPr>
        <w:t>стандарт</w:t>
      </w:r>
      <w:r w:rsidRPr="00E72305">
        <w:rPr>
          <w:sz w:val="28"/>
          <w:szCs w:val="28"/>
        </w:rPr>
        <w:t xml:space="preserve"> введены новые термины и определения.</w:t>
      </w:r>
    </w:p>
    <w:p w14:paraId="095045C2" w14:textId="77777777" w:rsidR="00E72305" w:rsidRPr="00E72305" w:rsidRDefault="00E72305" w:rsidP="00E72305">
      <w:pPr>
        <w:spacing w:line="360" w:lineRule="auto"/>
        <w:ind w:firstLine="708"/>
        <w:rPr>
          <w:sz w:val="28"/>
          <w:szCs w:val="28"/>
        </w:rPr>
      </w:pPr>
      <w:r w:rsidRPr="00E72305">
        <w:rPr>
          <w:sz w:val="28"/>
          <w:szCs w:val="28"/>
        </w:rPr>
        <w:t xml:space="preserve">Проект ГОСТ Р 2.304 в справочном приложении содержит </w:t>
      </w:r>
      <w:r w:rsidR="00765F6C">
        <w:rPr>
          <w:sz w:val="28"/>
          <w:szCs w:val="28"/>
        </w:rPr>
        <w:t xml:space="preserve">исторически установленный </w:t>
      </w:r>
      <w:r w:rsidRPr="00E72305">
        <w:rPr>
          <w:sz w:val="28"/>
          <w:szCs w:val="28"/>
        </w:rPr>
        <w:t xml:space="preserve">внешний вид </w:t>
      </w:r>
      <w:r w:rsidR="00765F6C">
        <w:rPr>
          <w:sz w:val="28"/>
          <w:szCs w:val="28"/>
        </w:rPr>
        <w:t xml:space="preserve">некоторых </w:t>
      </w:r>
      <w:r w:rsidRPr="00E72305">
        <w:rPr>
          <w:sz w:val="28"/>
          <w:szCs w:val="28"/>
        </w:rPr>
        <w:t>символов, что согласуется с концепцией ISO 3098:2015, в котором иллюстрации символов приведены только в качестве примеров (см. ISO 3098-1, ISO 3098-2, ISO 3098-3).</w:t>
      </w:r>
      <w:r w:rsidR="00765F6C">
        <w:rPr>
          <w:sz w:val="28"/>
          <w:szCs w:val="28"/>
        </w:rPr>
        <w:t xml:space="preserve"> Учитывая, что на базе требований ГОСТ 2.304-81 уже разработаны </w:t>
      </w:r>
      <w:r w:rsidR="00765F6C">
        <w:rPr>
          <w:sz w:val="28"/>
          <w:szCs w:val="28"/>
        </w:rPr>
        <w:lastRenderedPageBreak/>
        <w:t>компьютерные шрифты разными компаниями, включающие гораздо больший набор символов, принято решение не добавлять в данное приложение символы, отсутствовавшие в ГОСТ 2.304-81.</w:t>
      </w:r>
    </w:p>
    <w:p w14:paraId="6790E1AA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Содержание </w:t>
      </w:r>
      <w:r w:rsidR="00A30330">
        <w:rPr>
          <w:sz w:val="28"/>
          <w:szCs w:val="28"/>
        </w:rPr>
        <w:t xml:space="preserve">проекта </w:t>
      </w:r>
      <w:r w:rsidRPr="008F36DF">
        <w:rPr>
          <w:sz w:val="28"/>
          <w:szCs w:val="28"/>
        </w:rPr>
        <w:t>стандарта полностью соответствует объекту стандартизации и области его применения.</w:t>
      </w:r>
    </w:p>
    <w:p w14:paraId="3C2E2DD2" w14:textId="77777777" w:rsidR="00CA75B1" w:rsidRPr="008F36DF" w:rsidRDefault="00CA75B1" w:rsidP="00CA75B1">
      <w:pPr>
        <w:tabs>
          <w:tab w:val="left" w:pos="1260"/>
        </w:tabs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Национальный стандарт разрабатывается впервые.</w:t>
      </w:r>
    </w:p>
    <w:p w14:paraId="52A09CD1" w14:textId="77777777" w:rsidR="00286639" w:rsidRPr="00BA1E82" w:rsidRDefault="00194F18" w:rsidP="00286639">
      <w:pPr>
        <w:pStyle w:val="ac"/>
        <w:suppressAutoHyphens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8F36DF">
        <w:rPr>
          <w:sz w:val="28"/>
          <w:szCs w:val="28"/>
        </w:rPr>
        <w:t xml:space="preserve">В соответствии с действующими правилами проект стандарта прошел процедуру публичного обсуждения. </w:t>
      </w:r>
    </w:p>
    <w:p w14:paraId="76ACDB5C" w14:textId="77777777" w:rsidR="00574C74" w:rsidRPr="00574C74" w:rsidRDefault="00574C74" w:rsidP="00574C74">
      <w:pPr>
        <w:spacing w:line="360" w:lineRule="auto"/>
        <w:rPr>
          <w:sz w:val="28"/>
          <w:szCs w:val="28"/>
        </w:rPr>
      </w:pPr>
      <w:r w:rsidRPr="00574C74">
        <w:rPr>
          <w:sz w:val="28"/>
          <w:szCs w:val="28"/>
        </w:rPr>
        <w:t xml:space="preserve">В ходе рассмотрения первой редакции проекта ГОСТ </w:t>
      </w:r>
      <w:r w:rsidRPr="00811F66">
        <w:rPr>
          <w:sz w:val="28"/>
          <w:szCs w:val="28"/>
        </w:rPr>
        <w:t xml:space="preserve">Р </w:t>
      </w:r>
      <w:r w:rsidRPr="00574C74">
        <w:rPr>
          <w:sz w:val="28"/>
          <w:szCs w:val="28"/>
        </w:rPr>
        <w:t>поступили замечания и предложения от</w:t>
      </w:r>
      <w:r w:rsidR="00CD3AED">
        <w:rPr>
          <w:sz w:val="28"/>
          <w:szCs w:val="28"/>
        </w:rPr>
        <w:t xml:space="preserve"> </w:t>
      </w:r>
      <w:r w:rsidR="000B3276" w:rsidRPr="000B3276">
        <w:rPr>
          <w:sz w:val="28"/>
          <w:szCs w:val="28"/>
        </w:rPr>
        <w:t>28 организаций: АО «Вертолеты России», АО «ВПК «НПО машиностроения», АО «Композит», АО «Концерн ВКО «Алмаз-Антей», АО «НПК «КБМ», АО «НПО «Высокоточные комплексы», АО «НПО «Электромашина», АО «НЦВ Миль и Камов», АО «ПО «Севмаш», АО «Российские космические системы», АО «Северное ПКБ», АО «Северо-западный региональный центр Концерна ВКО «Алмаз-Антей» - Обуховский завод», АО «УКБТМ», АО «ЦКБ «Коралл», АО «ЦКБ МТ «Рубин», АО «</w:t>
      </w:r>
      <w:proofErr w:type="spellStart"/>
      <w:r w:rsidR="000B3276" w:rsidRPr="000B3276">
        <w:rPr>
          <w:sz w:val="28"/>
          <w:szCs w:val="28"/>
        </w:rPr>
        <w:t>ЦНИИмаш</w:t>
      </w:r>
      <w:proofErr w:type="spellEnd"/>
      <w:r w:rsidR="000B3276" w:rsidRPr="000B3276">
        <w:rPr>
          <w:sz w:val="28"/>
          <w:szCs w:val="28"/>
        </w:rPr>
        <w:t>», АО «ЦНИИТОЧМАШ», В/ч 31800 Министерства обороны РФ, Госкорпорация «Росатом», Группа «ТМХ», Научно-исследовательский испытательный центр (г. Москва) ЦНИИ ВКС МО РФ, НИЦ «Курчатовский институт», ООО «КСК», ООО «ОИЦ», ПАО «ОДК-УМПО», ФГБУ «21 Научно-исследовательский испытательный институт военной автомобильной техники», ФГБУ «46 ЦНИИ» Минобороны России, ФГУП «ВНИИ «Центр»</w:t>
      </w:r>
      <w:r w:rsidR="00361B11" w:rsidRPr="00361B11">
        <w:rPr>
          <w:sz w:val="28"/>
          <w:szCs w:val="28"/>
        </w:rPr>
        <w:t>.</w:t>
      </w:r>
      <w:r w:rsidRPr="00574C74">
        <w:rPr>
          <w:sz w:val="28"/>
          <w:szCs w:val="28"/>
        </w:rPr>
        <w:t xml:space="preserve"> В отзывах </w:t>
      </w:r>
      <w:r w:rsidR="00F52456">
        <w:rPr>
          <w:sz w:val="28"/>
          <w:szCs w:val="28"/>
        </w:rPr>
        <w:t>2</w:t>
      </w:r>
      <w:r w:rsidR="000B3276">
        <w:rPr>
          <w:sz w:val="28"/>
          <w:szCs w:val="28"/>
        </w:rPr>
        <w:t>6</w:t>
      </w:r>
      <w:r w:rsidRPr="00574C74">
        <w:rPr>
          <w:sz w:val="28"/>
          <w:szCs w:val="28"/>
        </w:rPr>
        <w:t xml:space="preserve"> организаци</w:t>
      </w:r>
      <w:r w:rsidR="00A46E2C">
        <w:rPr>
          <w:sz w:val="28"/>
          <w:szCs w:val="28"/>
        </w:rPr>
        <w:t>й</w:t>
      </w:r>
      <w:r w:rsidRPr="00574C74">
        <w:rPr>
          <w:sz w:val="28"/>
          <w:szCs w:val="28"/>
        </w:rPr>
        <w:t xml:space="preserve"> замечания и предложения отсутствуют.</w:t>
      </w:r>
    </w:p>
    <w:p w14:paraId="606845AA" w14:textId="77777777" w:rsidR="00574C74" w:rsidRPr="00574C74" w:rsidRDefault="00574C74" w:rsidP="00574C74">
      <w:pPr>
        <w:spacing w:line="360" w:lineRule="auto"/>
        <w:rPr>
          <w:sz w:val="28"/>
          <w:szCs w:val="28"/>
        </w:rPr>
      </w:pPr>
      <w:r w:rsidRPr="00574C74">
        <w:rPr>
          <w:sz w:val="28"/>
          <w:szCs w:val="28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ГОСТ Р. Из </w:t>
      </w:r>
      <w:r w:rsidR="000B3276">
        <w:rPr>
          <w:sz w:val="28"/>
          <w:szCs w:val="28"/>
        </w:rPr>
        <w:t>127</w:t>
      </w:r>
      <w:r w:rsidRPr="00574C74">
        <w:rPr>
          <w:sz w:val="28"/>
          <w:szCs w:val="28"/>
        </w:rPr>
        <w:t xml:space="preserve"> полученных замечаний и предложений: принято – </w:t>
      </w:r>
      <w:r w:rsidR="000B3276">
        <w:rPr>
          <w:sz w:val="28"/>
          <w:szCs w:val="28"/>
        </w:rPr>
        <w:t>51</w:t>
      </w:r>
      <w:r w:rsidRPr="00574C74">
        <w:rPr>
          <w:sz w:val="28"/>
          <w:szCs w:val="28"/>
        </w:rPr>
        <w:t xml:space="preserve">, принято частично – </w:t>
      </w:r>
      <w:r w:rsidR="000B3276">
        <w:rPr>
          <w:sz w:val="28"/>
          <w:szCs w:val="28"/>
        </w:rPr>
        <w:t>12</w:t>
      </w:r>
      <w:r w:rsidRPr="00574C74">
        <w:rPr>
          <w:sz w:val="28"/>
          <w:szCs w:val="28"/>
        </w:rPr>
        <w:t xml:space="preserve"> отклонено – </w:t>
      </w:r>
      <w:r w:rsidR="000B3276">
        <w:rPr>
          <w:sz w:val="28"/>
          <w:szCs w:val="28"/>
        </w:rPr>
        <w:t>13</w:t>
      </w:r>
      <w:r w:rsidRPr="00574C74">
        <w:rPr>
          <w:sz w:val="28"/>
          <w:szCs w:val="28"/>
        </w:rPr>
        <w:t xml:space="preserve"> (обоснования приведены в сводке отзывов), принято к сведению – </w:t>
      </w:r>
      <w:r w:rsidR="000B3276">
        <w:rPr>
          <w:sz w:val="28"/>
          <w:szCs w:val="28"/>
        </w:rPr>
        <w:t>51</w:t>
      </w:r>
      <w:r w:rsidRPr="00574C74">
        <w:rPr>
          <w:sz w:val="28"/>
          <w:szCs w:val="28"/>
        </w:rPr>
        <w:t>.</w:t>
      </w:r>
    </w:p>
    <w:p w14:paraId="1B4584AB" w14:textId="77777777" w:rsidR="00574C74" w:rsidRDefault="00574C74" w:rsidP="00574C74">
      <w:pPr>
        <w:spacing w:line="360" w:lineRule="auto"/>
        <w:rPr>
          <w:sz w:val="28"/>
          <w:szCs w:val="28"/>
        </w:rPr>
      </w:pPr>
      <w:r w:rsidRPr="00574C74">
        <w:rPr>
          <w:sz w:val="28"/>
          <w:szCs w:val="28"/>
        </w:rPr>
        <w:t xml:space="preserve">Проект стандарта существенно доработан по замечаниям </w:t>
      </w:r>
      <w:r w:rsidR="000B3276" w:rsidRPr="000B3276">
        <w:rPr>
          <w:sz w:val="28"/>
          <w:szCs w:val="28"/>
        </w:rPr>
        <w:t xml:space="preserve">ОКБ Сухого, АО «Концерн ВКО «Алмаз-Антей», АО «НПО «Электромашина», АО </w:t>
      </w:r>
      <w:r w:rsidR="000B3276" w:rsidRPr="000B3276">
        <w:rPr>
          <w:sz w:val="28"/>
          <w:szCs w:val="28"/>
        </w:rPr>
        <w:lastRenderedPageBreak/>
        <w:t>«ЦНИИТОЧМАШ», ООО «КСК», АО «ПО «Севмаш»</w:t>
      </w:r>
      <w:r w:rsidRPr="00574C74">
        <w:rPr>
          <w:sz w:val="28"/>
          <w:szCs w:val="28"/>
        </w:rPr>
        <w:t xml:space="preserve"> и других. </w:t>
      </w:r>
      <w:r w:rsidR="000B3276" w:rsidRPr="000B3276">
        <w:rPr>
          <w:sz w:val="28"/>
          <w:szCs w:val="28"/>
        </w:rPr>
        <w:t xml:space="preserve">Введено новое приложение с кодами </w:t>
      </w:r>
      <w:proofErr w:type="spellStart"/>
      <w:r w:rsidR="000B3276" w:rsidRPr="000B3276">
        <w:rPr>
          <w:sz w:val="28"/>
          <w:szCs w:val="28"/>
        </w:rPr>
        <w:t>Unicode</w:t>
      </w:r>
      <w:proofErr w:type="spellEnd"/>
      <w:r w:rsidR="000B3276" w:rsidRPr="000B3276">
        <w:rPr>
          <w:sz w:val="28"/>
          <w:szCs w:val="28"/>
        </w:rPr>
        <w:t xml:space="preserve"> основных символов, применяемых в КД, уточнена применяемая технология, скорректированы основные положения и требования к выполнению надписей в графических КД</w:t>
      </w:r>
      <w:r w:rsidR="00CD3AED" w:rsidRPr="00CD3AED">
        <w:rPr>
          <w:sz w:val="28"/>
          <w:szCs w:val="28"/>
        </w:rPr>
        <w:t>.</w:t>
      </w:r>
    </w:p>
    <w:p w14:paraId="54FF5BE7" w14:textId="77777777" w:rsidR="00640E10" w:rsidRDefault="00214F35" w:rsidP="00214F35">
      <w:pPr>
        <w:spacing w:line="360" w:lineRule="auto"/>
        <w:rPr>
          <w:sz w:val="28"/>
          <w:szCs w:val="28"/>
        </w:rPr>
      </w:pPr>
      <w:r w:rsidRPr="00214F35">
        <w:rPr>
          <w:sz w:val="28"/>
          <w:szCs w:val="28"/>
        </w:rPr>
        <w:t xml:space="preserve">Окончательная редакция проекта стандарта рассмотрена членами ТК 482 «Поддержка жизненного цикла продукции», в результате чего поступили </w:t>
      </w:r>
      <w:r w:rsidRPr="005E076D">
        <w:rPr>
          <w:sz w:val="28"/>
          <w:szCs w:val="28"/>
        </w:rPr>
        <w:t xml:space="preserve">замечания и предложения от </w:t>
      </w:r>
      <w:r w:rsidR="005E076D" w:rsidRPr="005E076D">
        <w:rPr>
          <w:sz w:val="28"/>
          <w:szCs w:val="28"/>
        </w:rPr>
        <w:t>28</w:t>
      </w:r>
      <w:r w:rsidRPr="005E076D">
        <w:rPr>
          <w:sz w:val="28"/>
          <w:szCs w:val="28"/>
        </w:rPr>
        <w:t xml:space="preserve"> организаций: </w:t>
      </w:r>
      <w:r w:rsidR="005E076D" w:rsidRPr="005E076D">
        <w:rPr>
          <w:sz w:val="28"/>
          <w:szCs w:val="28"/>
        </w:rPr>
        <w:t>АО «Вертолеты России», АО «ИЭМЗ «Купол», АО «КБП», АО «Коломенский завод», АО «Концерн «Созвездие», АО «Концерн ВКО «Алмаз-Антей», АО «ЛЭС», АО «Метровагонмаш», АО «НПО «Высокоточные комплексы», АО «НЦВ Миль и Камов», АО «ОПК», АО «Российские космические системы», АО «Тамбовский завод «Революционный труд», АО «</w:t>
      </w:r>
      <w:proofErr w:type="spellStart"/>
      <w:r w:rsidR="005E076D" w:rsidRPr="005E076D">
        <w:rPr>
          <w:sz w:val="28"/>
          <w:szCs w:val="28"/>
        </w:rPr>
        <w:t>ЦНИИмаш</w:t>
      </w:r>
      <w:proofErr w:type="spellEnd"/>
      <w:r w:rsidR="005E076D" w:rsidRPr="005E076D">
        <w:rPr>
          <w:sz w:val="28"/>
          <w:szCs w:val="28"/>
        </w:rPr>
        <w:t>», АО «ЦНИИМФ», АО «ЭЛАРА», Госкорпорация «Росатом», НИЦ «Курчатовский институт», ОАО «РЖД», ООО «ВНИЦТТ», ООО «ИЦД ТМХ», ООО «НПО САУТ», ООО «ПК «НЭВЗ», ООО «</w:t>
      </w:r>
      <w:proofErr w:type="spellStart"/>
      <w:r w:rsidR="005E076D" w:rsidRPr="005E076D">
        <w:rPr>
          <w:sz w:val="28"/>
          <w:szCs w:val="28"/>
        </w:rPr>
        <w:t>РусБИТех</w:t>
      </w:r>
      <w:proofErr w:type="spellEnd"/>
      <w:r w:rsidR="005E076D" w:rsidRPr="005E076D">
        <w:rPr>
          <w:sz w:val="28"/>
          <w:szCs w:val="28"/>
        </w:rPr>
        <w:t>-Астра», ООО «ТМХ Технологии», ПАО «РКК «Энергия», ФГБУ «3 ЦНИИ» МО РФ, Филиал ПАО «Яковлев»- «Региональные самолеты»</w:t>
      </w:r>
      <w:r w:rsidR="00A46E2C">
        <w:rPr>
          <w:sz w:val="28"/>
          <w:szCs w:val="28"/>
        </w:rPr>
        <w:t>.</w:t>
      </w:r>
      <w:r w:rsidR="005E076D">
        <w:rPr>
          <w:sz w:val="28"/>
          <w:szCs w:val="28"/>
        </w:rPr>
        <w:t xml:space="preserve"> </w:t>
      </w:r>
      <w:r w:rsidR="00640E10" w:rsidRPr="005E076D">
        <w:rPr>
          <w:sz w:val="28"/>
          <w:szCs w:val="28"/>
        </w:rPr>
        <w:t>В отзывах 18 организаций замечания и предложения отсутствуют.</w:t>
      </w:r>
    </w:p>
    <w:p w14:paraId="63758734" w14:textId="77777777" w:rsidR="00214F35" w:rsidRPr="00214F35" w:rsidRDefault="005E076D" w:rsidP="00214F35">
      <w:pPr>
        <w:spacing w:line="360" w:lineRule="auto"/>
        <w:rPr>
          <w:sz w:val="28"/>
          <w:szCs w:val="28"/>
        </w:rPr>
      </w:pPr>
      <w:r w:rsidRPr="005E076D">
        <w:rPr>
          <w:sz w:val="28"/>
          <w:szCs w:val="28"/>
        </w:rPr>
        <w:t>По всем полученным замечаниям и предложениям составлена сводка отзывов. Из 141 полученных замечаний: принято – 67, принято частично – 20, принято к сведению – 25. Отклонено – 29.</w:t>
      </w:r>
      <w:r>
        <w:rPr>
          <w:sz w:val="28"/>
          <w:szCs w:val="28"/>
        </w:rPr>
        <w:t xml:space="preserve"> </w:t>
      </w:r>
    </w:p>
    <w:p w14:paraId="2ED0D160" w14:textId="77777777" w:rsidR="00883EF7" w:rsidRPr="00883EF7" w:rsidRDefault="00214F35" w:rsidP="00883EF7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Окончательная редакция была доработана по замечаниям данных организаций и</w:t>
      </w:r>
      <w:r w:rsidR="00B33BFC">
        <w:rPr>
          <w:sz w:val="28"/>
          <w:szCs w:val="28"/>
        </w:rPr>
        <w:t xml:space="preserve"> прошла </w:t>
      </w:r>
      <w:r w:rsidR="00883EF7">
        <w:rPr>
          <w:sz w:val="28"/>
          <w:szCs w:val="28"/>
        </w:rPr>
        <w:t xml:space="preserve">процедуру голосования. </w:t>
      </w:r>
      <w:bookmarkStart w:id="1" w:name="_Hlk181951830"/>
      <w:r w:rsidR="00883EF7" w:rsidRPr="00F52456">
        <w:rPr>
          <w:sz w:val="28"/>
          <w:szCs w:val="28"/>
          <w:highlight w:val="yellow"/>
        </w:rPr>
        <w:t xml:space="preserve">В ходе голосования проект поддержало </w:t>
      </w:r>
      <w:r w:rsidR="00F52456" w:rsidRPr="00F52456">
        <w:rPr>
          <w:sz w:val="28"/>
          <w:szCs w:val="28"/>
          <w:highlight w:val="yellow"/>
        </w:rPr>
        <w:t>Х</w:t>
      </w:r>
      <w:r w:rsidR="00883EF7" w:rsidRPr="00F52456">
        <w:rPr>
          <w:sz w:val="28"/>
          <w:szCs w:val="28"/>
          <w:highlight w:val="yellow"/>
        </w:rPr>
        <w:t xml:space="preserve"> организации из </w:t>
      </w:r>
      <w:r w:rsidR="00F52456" w:rsidRPr="00F52456">
        <w:rPr>
          <w:sz w:val="28"/>
          <w:szCs w:val="28"/>
          <w:highlight w:val="yellow"/>
        </w:rPr>
        <w:t>Х</w:t>
      </w:r>
      <w:r w:rsidR="00883EF7" w:rsidRPr="00F52456">
        <w:rPr>
          <w:sz w:val="28"/>
          <w:szCs w:val="28"/>
          <w:highlight w:val="yellow"/>
        </w:rPr>
        <w:t xml:space="preserve">, голосов «против» </w:t>
      </w:r>
      <w:r w:rsidRPr="00F52456">
        <w:rPr>
          <w:sz w:val="28"/>
          <w:szCs w:val="28"/>
          <w:highlight w:val="yellow"/>
        </w:rPr>
        <w:t>нет</w:t>
      </w:r>
      <w:r w:rsidR="00883EF7" w:rsidRPr="00F52456">
        <w:rPr>
          <w:sz w:val="28"/>
          <w:szCs w:val="28"/>
          <w:highlight w:val="yellow"/>
        </w:rPr>
        <w:t xml:space="preserve">. От </w:t>
      </w:r>
      <w:r w:rsidR="00F52456" w:rsidRPr="00F52456">
        <w:rPr>
          <w:sz w:val="28"/>
          <w:szCs w:val="28"/>
          <w:highlight w:val="yellow"/>
        </w:rPr>
        <w:t>Х</w:t>
      </w:r>
      <w:r w:rsidR="00883EF7" w:rsidRPr="00F52456">
        <w:rPr>
          <w:sz w:val="28"/>
          <w:szCs w:val="28"/>
          <w:highlight w:val="yellow"/>
        </w:rPr>
        <w:t xml:space="preserve"> организаций-членов ТК ответы не поступили.</w:t>
      </w:r>
    </w:p>
    <w:bookmarkEnd w:id="1"/>
    <w:p w14:paraId="1BFD108A" w14:textId="77777777" w:rsidR="001B285E" w:rsidRPr="008F36DF" w:rsidRDefault="00194F18" w:rsidP="0005449D">
      <w:pPr>
        <w:spacing w:line="360" w:lineRule="auto"/>
        <w:rPr>
          <w:sz w:val="28"/>
          <w:szCs w:val="28"/>
        </w:rPr>
      </w:pPr>
      <w:r w:rsidRPr="00765F6C">
        <w:rPr>
          <w:sz w:val="28"/>
          <w:szCs w:val="28"/>
        </w:rPr>
        <w:t xml:space="preserve">На основании статьи 24 Федерального закона от 29 июня 2015 г. № 162-ФЗ «О стандартизации в Российской Федерации», с учетом результатов экспертизы проекта национального стандарта и на основе консенсуса ТК </w:t>
      </w:r>
      <w:r w:rsidR="00684FE8" w:rsidRPr="00765F6C">
        <w:rPr>
          <w:sz w:val="28"/>
          <w:szCs w:val="28"/>
        </w:rPr>
        <w:t>482</w:t>
      </w:r>
      <w:r w:rsidRPr="00765F6C">
        <w:rPr>
          <w:sz w:val="28"/>
          <w:szCs w:val="28"/>
        </w:rPr>
        <w:t xml:space="preserve"> </w:t>
      </w:r>
      <w:r w:rsidR="00684FE8" w:rsidRPr="00765F6C">
        <w:rPr>
          <w:sz w:val="28"/>
          <w:szCs w:val="28"/>
        </w:rPr>
        <w:t>«Поддержка жизненного цикла продукции»</w:t>
      </w:r>
      <w:r w:rsidRPr="00765F6C">
        <w:rPr>
          <w:sz w:val="28"/>
          <w:szCs w:val="28"/>
        </w:rPr>
        <w:t xml:space="preserve"> считает возможным рекомендовать к утверждению проект </w:t>
      </w:r>
      <w:r w:rsidR="004F7442" w:rsidRPr="00765F6C">
        <w:rPr>
          <w:sz w:val="28"/>
          <w:szCs w:val="28"/>
        </w:rPr>
        <w:t>ГОСТ Р</w:t>
      </w:r>
      <w:r w:rsidR="003D439A" w:rsidRPr="00765F6C">
        <w:rPr>
          <w:sz w:val="28"/>
          <w:szCs w:val="28"/>
        </w:rPr>
        <w:t xml:space="preserve"> «Единая система </w:t>
      </w:r>
      <w:r w:rsidR="003D439A" w:rsidRPr="00765F6C">
        <w:rPr>
          <w:sz w:val="28"/>
          <w:szCs w:val="28"/>
        </w:rPr>
        <w:lastRenderedPageBreak/>
        <w:t xml:space="preserve">конструкторской документации. </w:t>
      </w:r>
      <w:r w:rsidR="000B3276" w:rsidRPr="00765F6C">
        <w:rPr>
          <w:sz w:val="28"/>
          <w:szCs w:val="28"/>
        </w:rPr>
        <w:t>Шрифты</w:t>
      </w:r>
      <w:r w:rsidR="003D439A" w:rsidRPr="00765F6C">
        <w:rPr>
          <w:sz w:val="28"/>
          <w:szCs w:val="28"/>
        </w:rPr>
        <w:t>»</w:t>
      </w:r>
      <w:r w:rsidR="00286639" w:rsidRPr="00765F6C">
        <w:rPr>
          <w:color w:val="000000"/>
          <w:sz w:val="28"/>
          <w:szCs w:val="28"/>
        </w:rPr>
        <w:t xml:space="preserve">, </w:t>
      </w:r>
      <w:r w:rsidR="00286639" w:rsidRPr="00765F6C">
        <w:rPr>
          <w:sz w:val="28"/>
          <w:szCs w:val="28"/>
        </w:rPr>
        <w:t xml:space="preserve">разработанный </w:t>
      </w:r>
      <w:r w:rsidR="004F7442" w:rsidRPr="00765F6C">
        <w:rPr>
          <w:sz w:val="28"/>
          <w:szCs w:val="28"/>
        </w:rPr>
        <w:t>А</w:t>
      </w:r>
      <w:r w:rsidR="00684FE8" w:rsidRPr="00765F6C">
        <w:rPr>
          <w:color w:val="000000"/>
          <w:sz w:val="28"/>
          <w:szCs w:val="28"/>
        </w:rPr>
        <w:t xml:space="preserve">О НИЦ «Прикладная </w:t>
      </w:r>
      <w:r w:rsidR="00765F6C" w:rsidRPr="00765F6C">
        <w:rPr>
          <w:color w:val="000000"/>
          <w:sz w:val="28"/>
          <w:szCs w:val="28"/>
        </w:rPr>
        <w:t>л</w:t>
      </w:r>
      <w:r w:rsidR="00684FE8" w:rsidRPr="00765F6C">
        <w:rPr>
          <w:color w:val="000000"/>
          <w:sz w:val="28"/>
          <w:szCs w:val="28"/>
        </w:rPr>
        <w:t>огистика»</w:t>
      </w:r>
      <w:r w:rsidR="00F703EA" w:rsidRPr="00765F6C">
        <w:rPr>
          <w:color w:val="000000"/>
          <w:sz w:val="28"/>
          <w:szCs w:val="28"/>
        </w:rPr>
        <w:t xml:space="preserve"> </w:t>
      </w:r>
      <w:r w:rsidR="00286639" w:rsidRPr="00765F6C">
        <w:rPr>
          <w:sz w:val="28"/>
          <w:szCs w:val="28"/>
        </w:rPr>
        <w:t xml:space="preserve">в рамках </w:t>
      </w:r>
      <w:r w:rsidR="003D439A" w:rsidRPr="00765F6C">
        <w:rPr>
          <w:sz w:val="28"/>
          <w:szCs w:val="28"/>
        </w:rPr>
        <w:t>Программы национальной стандартизации на 202</w:t>
      </w:r>
      <w:r w:rsidR="00F52456" w:rsidRPr="00765F6C">
        <w:rPr>
          <w:sz w:val="28"/>
          <w:szCs w:val="28"/>
        </w:rPr>
        <w:t>3</w:t>
      </w:r>
      <w:r w:rsidR="00765F6C" w:rsidRPr="00765F6C">
        <w:rPr>
          <w:sz w:val="28"/>
          <w:szCs w:val="28"/>
        </w:rPr>
        <w:t xml:space="preserve"> –2026</w:t>
      </w:r>
      <w:r w:rsidR="003D439A" w:rsidRPr="00765F6C">
        <w:rPr>
          <w:sz w:val="28"/>
          <w:szCs w:val="28"/>
        </w:rPr>
        <w:t xml:space="preserve"> </w:t>
      </w:r>
      <w:r w:rsidR="00765F6C" w:rsidRPr="00765F6C">
        <w:rPr>
          <w:sz w:val="28"/>
          <w:szCs w:val="28"/>
        </w:rPr>
        <w:t>г</w:t>
      </w:r>
      <w:r w:rsidR="003D439A" w:rsidRPr="00765F6C">
        <w:rPr>
          <w:sz w:val="28"/>
          <w:szCs w:val="28"/>
        </w:rPr>
        <w:t>г. (шифр темы 1.0.482-1.0</w:t>
      </w:r>
      <w:r w:rsidR="00F52456" w:rsidRPr="00765F6C">
        <w:rPr>
          <w:sz w:val="28"/>
          <w:szCs w:val="28"/>
        </w:rPr>
        <w:t>6</w:t>
      </w:r>
      <w:r w:rsidR="000B3276" w:rsidRPr="00765F6C">
        <w:rPr>
          <w:sz w:val="28"/>
          <w:szCs w:val="28"/>
        </w:rPr>
        <w:t>5</w:t>
      </w:r>
      <w:r w:rsidR="003D439A" w:rsidRPr="00765F6C">
        <w:rPr>
          <w:sz w:val="28"/>
          <w:szCs w:val="28"/>
        </w:rPr>
        <w:t>.23)</w:t>
      </w:r>
      <w:r w:rsidR="00286639" w:rsidRPr="00765F6C">
        <w:rPr>
          <w:sz w:val="28"/>
          <w:szCs w:val="28"/>
        </w:rPr>
        <w:t>, в качестве национального стандарта Российской Федерации</w:t>
      </w:r>
      <w:r w:rsidRPr="00765F6C">
        <w:rPr>
          <w:sz w:val="28"/>
          <w:szCs w:val="28"/>
        </w:rPr>
        <w:t xml:space="preserve"> </w:t>
      </w:r>
      <w:r w:rsidRPr="00765F6C">
        <w:rPr>
          <w:sz w:val="28"/>
          <w:szCs w:val="28"/>
          <w:highlight w:val="cyan"/>
        </w:rPr>
        <w:t xml:space="preserve">с датой введения в действие </w:t>
      </w:r>
      <w:r w:rsidR="00A30330" w:rsidRPr="00765F6C">
        <w:rPr>
          <w:sz w:val="28"/>
          <w:szCs w:val="28"/>
          <w:highlight w:val="cyan"/>
        </w:rPr>
        <w:t>«</w:t>
      </w:r>
      <w:r w:rsidR="00214F35" w:rsidRPr="00765F6C">
        <w:rPr>
          <w:sz w:val="28"/>
          <w:szCs w:val="28"/>
          <w:highlight w:val="cyan"/>
        </w:rPr>
        <w:t>01</w:t>
      </w:r>
      <w:r w:rsidR="00684FE8" w:rsidRPr="00765F6C">
        <w:rPr>
          <w:sz w:val="28"/>
          <w:szCs w:val="28"/>
          <w:highlight w:val="cyan"/>
        </w:rPr>
        <w:t xml:space="preserve">» </w:t>
      </w:r>
      <w:r w:rsidR="00765F6C" w:rsidRPr="00765F6C">
        <w:rPr>
          <w:sz w:val="28"/>
          <w:szCs w:val="28"/>
          <w:highlight w:val="cyan"/>
        </w:rPr>
        <w:t>октября</w:t>
      </w:r>
      <w:r w:rsidRPr="00765F6C">
        <w:rPr>
          <w:sz w:val="28"/>
          <w:szCs w:val="28"/>
          <w:highlight w:val="cyan"/>
        </w:rPr>
        <w:t xml:space="preserve"> 202</w:t>
      </w:r>
      <w:r w:rsidR="00214F35" w:rsidRPr="00765F6C">
        <w:rPr>
          <w:sz w:val="28"/>
          <w:szCs w:val="28"/>
          <w:highlight w:val="cyan"/>
        </w:rPr>
        <w:t>6</w:t>
      </w:r>
      <w:r w:rsidRPr="00765F6C">
        <w:rPr>
          <w:sz w:val="28"/>
          <w:szCs w:val="28"/>
          <w:highlight w:val="cyan"/>
        </w:rPr>
        <w:t xml:space="preserve"> г.</w:t>
      </w:r>
      <w:r w:rsidR="00765F6C">
        <w:rPr>
          <w:sz w:val="28"/>
          <w:szCs w:val="28"/>
        </w:rPr>
        <w:t xml:space="preserve"> </w:t>
      </w:r>
      <w:r w:rsidR="00765F6C" w:rsidRPr="00765F6C">
        <w:rPr>
          <w:sz w:val="28"/>
          <w:szCs w:val="28"/>
          <w:highlight w:val="cyan"/>
        </w:rPr>
        <w:t>(с правом досрочного применения).</w:t>
      </w:r>
    </w:p>
    <w:p w14:paraId="56704E9B" w14:textId="77777777" w:rsidR="00640E10" w:rsidRDefault="00640E10" w:rsidP="00CA75B1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</w:p>
    <w:p w14:paraId="2D846D4C" w14:textId="77777777" w:rsidR="00640E10" w:rsidRDefault="00640E10" w:rsidP="00CA75B1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</w:p>
    <w:p w14:paraId="4C61C00B" w14:textId="77777777" w:rsidR="00CA75B1" w:rsidRPr="008F36DF" w:rsidRDefault="00CA75B1" w:rsidP="00CA75B1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  <w:r w:rsidRPr="008F36DF">
        <w:rPr>
          <w:sz w:val="28"/>
          <w:szCs w:val="28"/>
        </w:rPr>
        <w:t xml:space="preserve">Председатель ТК 482 </w:t>
      </w:r>
    </w:p>
    <w:p w14:paraId="5D11521E" w14:textId="77777777" w:rsidR="00641FE4" w:rsidRPr="008F36DF" w:rsidRDefault="00CA75B1" w:rsidP="00A46E2C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  <w:r w:rsidRPr="008F36DF">
        <w:rPr>
          <w:sz w:val="28"/>
          <w:szCs w:val="28"/>
        </w:rPr>
        <w:t>«</w:t>
      </w:r>
      <w:r w:rsidRPr="008F36DF">
        <w:rPr>
          <w:rFonts w:eastAsia="Calibri"/>
          <w:sz w:val="28"/>
          <w:szCs w:val="28"/>
        </w:rPr>
        <w:t>Поддержка жизненного цикла продукции</w:t>
      </w:r>
      <w:r w:rsidRPr="008F36DF">
        <w:rPr>
          <w:sz w:val="28"/>
          <w:szCs w:val="28"/>
        </w:rPr>
        <w:t>»</w:t>
      </w:r>
      <w:r w:rsidRPr="008F36DF">
        <w:rPr>
          <w:sz w:val="28"/>
          <w:szCs w:val="28"/>
        </w:rPr>
        <w:tab/>
        <w:t xml:space="preserve">     Е.В. Судов  </w:t>
      </w:r>
    </w:p>
    <w:sectPr w:rsidR="00641FE4" w:rsidRPr="008F36DF" w:rsidSect="008A6BE3">
      <w:footerReference w:type="default" r:id="rId7"/>
      <w:foot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08EAB" w14:textId="77777777" w:rsidR="00E17E2B" w:rsidRDefault="00E17E2B" w:rsidP="00DF305D">
      <w:pPr>
        <w:spacing w:line="240" w:lineRule="auto"/>
      </w:pPr>
      <w:r>
        <w:separator/>
      </w:r>
    </w:p>
  </w:endnote>
  <w:endnote w:type="continuationSeparator" w:id="0">
    <w:p w14:paraId="53BFBD66" w14:textId="77777777" w:rsidR="00E17E2B" w:rsidRDefault="00E17E2B" w:rsidP="00DF3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3453" w14:textId="77777777" w:rsidR="008A6BE3" w:rsidRDefault="008A6BE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E58D6">
      <w:rPr>
        <w:noProof/>
      </w:rPr>
      <w:t>4</w:t>
    </w:r>
    <w:r>
      <w:fldChar w:fldCharType="end"/>
    </w:r>
  </w:p>
  <w:p w14:paraId="715F1E07" w14:textId="77777777" w:rsidR="008A6BE3" w:rsidRDefault="008A6BE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14AB" w14:textId="77777777" w:rsidR="008D61D2" w:rsidRDefault="008D61D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E58D6">
      <w:rPr>
        <w:noProof/>
      </w:rPr>
      <w:t>1</w:t>
    </w:r>
    <w:r>
      <w:fldChar w:fldCharType="end"/>
    </w:r>
  </w:p>
  <w:p w14:paraId="7AD5B63D" w14:textId="77777777" w:rsidR="008D61D2" w:rsidRDefault="008D61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8FF15" w14:textId="77777777" w:rsidR="00E17E2B" w:rsidRDefault="00E17E2B" w:rsidP="00DF305D">
      <w:pPr>
        <w:spacing w:line="240" w:lineRule="auto"/>
      </w:pPr>
      <w:r>
        <w:separator/>
      </w:r>
    </w:p>
  </w:footnote>
  <w:footnote w:type="continuationSeparator" w:id="0">
    <w:p w14:paraId="3D5A008B" w14:textId="77777777" w:rsidR="00E17E2B" w:rsidRDefault="00E17E2B" w:rsidP="00DF30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3DF"/>
    <w:multiLevelType w:val="hybridMultilevel"/>
    <w:tmpl w:val="9C6A1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666F50"/>
    <w:multiLevelType w:val="hybridMultilevel"/>
    <w:tmpl w:val="D17CF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AE0B0D"/>
    <w:multiLevelType w:val="hybridMultilevel"/>
    <w:tmpl w:val="225C7F2A"/>
    <w:lvl w:ilvl="0" w:tplc="0419000F">
      <w:start w:val="1"/>
      <w:numFmt w:val="decimal"/>
      <w:lvlText w:val="%1."/>
      <w:lvlJc w:val="left"/>
      <w:pPr>
        <w:ind w:left="14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" w15:restartNumberingAfterBreak="0">
    <w:nsid w:val="1D8815B2"/>
    <w:multiLevelType w:val="hybridMultilevel"/>
    <w:tmpl w:val="EBEC7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064196"/>
    <w:multiLevelType w:val="hybridMultilevel"/>
    <w:tmpl w:val="C7FA5570"/>
    <w:lvl w:ilvl="0" w:tplc="18361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C9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08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66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43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8B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0C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CEE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A9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8C42D6"/>
    <w:multiLevelType w:val="hybridMultilevel"/>
    <w:tmpl w:val="1C040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61C85"/>
    <w:multiLevelType w:val="hybridMultilevel"/>
    <w:tmpl w:val="4F68B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22AEC"/>
    <w:multiLevelType w:val="hybridMultilevel"/>
    <w:tmpl w:val="999C7FB2"/>
    <w:lvl w:ilvl="0" w:tplc="71683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3161F"/>
    <w:multiLevelType w:val="hybridMultilevel"/>
    <w:tmpl w:val="BD563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C5964"/>
    <w:multiLevelType w:val="hybridMultilevel"/>
    <w:tmpl w:val="D9E6D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C7926"/>
    <w:multiLevelType w:val="hybridMultilevel"/>
    <w:tmpl w:val="8F625032"/>
    <w:lvl w:ilvl="0" w:tplc="5D642F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D212F76"/>
    <w:multiLevelType w:val="hybridMultilevel"/>
    <w:tmpl w:val="1C347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56CE2"/>
    <w:multiLevelType w:val="hybridMultilevel"/>
    <w:tmpl w:val="E8965104"/>
    <w:lvl w:ilvl="0" w:tplc="71683B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077671"/>
    <w:multiLevelType w:val="hybridMultilevel"/>
    <w:tmpl w:val="D42E87A4"/>
    <w:lvl w:ilvl="0" w:tplc="04E62B18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514D4D2C"/>
    <w:multiLevelType w:val="hybridMultilevel"/>
    <w:tmpl w:val="0736DE7C"/>
    <w:lvl w:ilvl="0" w:tplc="DABC0C6C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591592D"/>
    <w:multiLevelType w:val="hybridMultilevel"/>
    <w:tmpl w:val="4EA22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05903"/>
    <w:multiLevelType w:val="hybridMultilevel"/>
    <w:tmpl w:val="4D9A9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C9F695D"/>
    <w:multiLevelType w:val="hybridMultilevel"/>
    <w:tmpl w:val="17B85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43FCF"/>
    <w:multiLevelType w:val="hybridMultilevel"/>
    <w:tmpl w:val="705A96B8"/>
    <w:lvl w:ilvl="0" w:tplc="66F65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50836"/>
    <w:multiLevelType w:val="hybridMultilevel"/>
    <w:tmpl w:val="5504D7DA"/>
    <w:lvl w:ilvl="0" w:tplc="66F65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"/>
  </w:num>
  <w:num w:numId="5">
    <w:abstractNumId w:val="16"/>
  </w:num>
  <w:num w:numId="6">
    <w:abstractNumId w:val="4"/>
  </w:num>
  <w:num w:numId="7">
    <w:abstractNumId w:val="12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15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9"/>
  </w:num>
  <w:num w:numId="18">
    <w:abstractNumId w:val="5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31"/>
    <w:rsid w:val="00020C70"/>
    <w:rsid w:val="00030DDC"/>
    <w:rsid w:val="000320B9"/>
    <w:rsid w:val="00034DAB"/>
    <w:rsid w:val="000510FE"/>
    <w:rsid w:val="0005449D"/>
    <w:rsid w:val="00064DB0"/>
    <w:rsid w:val="000715C9"/>
    <w:rsid w:val="0008074C"/>
    <w:rsid w:val="000A6C72"/>
    <w:rsid w:val="000A7A31"/>
    <w:rsid w:val="000B3276"/>
    <w:rsid w:val="000D3D86"/>
    <w:rsid w:val="000D4798"/>
    <w:rsid w:val="000E2131"/>
    <w:rsid w:val="00102B38"/>
    <w:rsid w:val="00123A78"/>
    <w:rsid w:val="001279C5"/>
    <w:rsid w:val="00127D3C"/>
    <w:rsid w:val="0014549F"/>
    <w:rsid w:val="0015605F"/>
    <w:rsid w:val="001576B1"/>
    <w:rsid w:val="00170135"/>
    <w:rsid w:val="00171857"/>
    <w:rsid w:val="001744FD"/>
    <w:rsid w:val="00177A61"/>
    <w:rsid w:val="00190124"/>
    <w:rsid w:val="001908E1"/>
    <w:rsid w:val="00194F18"/>
    <w:rsid w:val="001A6FFC"/>
    <w:rsid w:val="001B2296"/>
    <w:rsid w:val="001B285E"/>
    <w:rsid w:val="001B4AF1"/>
    <w:rsid w:val="001B6E3E"/>
    <w:rsid w:val="001E75CD"/>
    <w:rsid w:val="001E7F1C"/>
    <w:rsid w:val="001F0D2F"/>
    <w:rsid w:val="001F2E0C"/>
    <w:rsid w:val="001F3C9A"/>
    <w:rsid w:val="00207EEA"/>
    <w:rsid w:val="00214F35"/>
    <w:rsid w:val="002249D1"/>
    <w:rsid w:val="00225F0F"/>
    <w:rsid w:val="00230080"/>
    <w:rsid w:val="00241BAB"/>
    <w:rsid w:val="0024701F"/>
    <w:rsid w:val="00261444"/>
    <w:rsid w:val="00271099"/>
    <w:rsid w:val="00274FCA"/>
    <w:rsid w:val="00286639"/>
    <w:rsid w:val="002911D0"/>
    <w:rsid w:val="002A07CC"/>
    <w:rsid w:val="002A36C6"/>
    <w:rsid w:val="002A6399"/>
    <w:rsid w:val="002A7D1C"/>
    <w:rsid w:val="002C2DD2"/>
    <w:rsid w:val="002C6B2E"/>
    <w:rsid w:val="002D5F23"/>
    <w:rsid w:val="002F675D"/>
    <w:rsid w:val="003031D1"/>
    <w:rsid w:val="0035019E"/>
    <w:rsid w:val="0035106A"/>
    <w:rsid w:val="00361B11"/>
    <w:rsid w:val="003749F2"/>
    <w:rsid w:val="00381557"/>
    <w:rsid w:val="003841AF"/>
    <w:rsid w:val="003A0C51"/>
    <w:rsid w:val="003A7ED1"/>
    <w:rsid w:val="003C0EA3"/>
    <w:rsid w:val="003D439A"/>
    <w:rsid w:val="003E13BC"/>
    <w:rsid w:val="003F289D"/>
    <w:rsid w:val="004121F0"/>
    <w:rsid w:val="004133DA"/>
    <w:rsid w:val="004263F0"/>
    <w:rsid w:val="00427E60"/>
    <w:rsid w:val="004339F8"/>
    <w:rsid w:val="00447976"/>
    <w:rsid w:val="00451A75"/>
    <w:rsid w:val="00466B34"/>
    <w:rsid w:val="00470521"/>
    <w:rsid w:val="00473AC5"/>
    <w:rsid w:val="00492D9D"/>
    <w:rsid w:val="004B340A"/>
    <w:rsid w:val="004C5630"/>
    <w:rsid w:val="004D67A7"/>
    <w:rsid w:val="004D72A2"/>
    <w:rsid w:val="004F0572"/>
    <w:rsid w:val="004F597E"/>
    <w:rsid w:val="004F7442"/>
    <w:rsid w:val="00501302"/>
    <w:rsid w:val="005030F1"/>
    <w:rsid w:val="00503410"/>
    <w:rsid w:val="00513BA4"/>
    <w:rsid w:val="005320A2"/>
    <w:rsid w:val="00536C94"/>
    <w:rsid w:val="00541DAB"/>
    <w:rsid w:val="0056258F"/>
    <w:rsid w:val="00574C74"/>
    <w:rsid w:val="00593FC2"/>
    <w:rsid w:val="005952FA"/>
    <w:rsid w:val="005B0662"/>
    <w:rsid w:val="005C12B9"/>
    <w:rsid w:val="005E076D"/>
    <w:rsid w:val="00600D88"/>
    <w:rsid w:val="006303CF"/>
    <w:rsid w:val="006365EF"/>
    <w:rsid w:val="006369B2"/>
    <w:rsid w:val="00640E10"/>
    <w:rsid w:val="00641FE4"/>
    <w:rsid w:val="00646236"/>
    <w:rsid w:val="006525CE"/>
    <w:rsid w:val="00652BB3"/>
    <w:rsid w:val="006610C2"/>
    <w:rsid w:val="00681B60"/>
    <w:rsid w:val="00684FE8"/>
    <w:rsid w:val="00695877"/>
    <w:rsid w:val="0069623A"/>
    <w:rsid w:val="00697289"/>
    <w:rsid w:val="006B1DBE"/>
    <w:rsid w:val="006D309F"/>
    <w:rsid w:val="00733690"/>
    <w:rsid w:val="00734E59"/>
    <w:rsid w:val="00740130"/>
    <w:rsid w:val="00753346"/>
    <w:rsid w:val="00765F6C"/>
    <w:rsid w:val="00766F39"/>
    <w:rsid w:val="0079147B"/>
    <w:rsid w:val="007A02FF"/>
    <w:rsid w:val="007A32FA"/>
    <w:rsid w:val="007B0211"/>
    <w:rsid w:val="007B0501"/>
    <w:rsid w:val="007B4445"/>
    <w:rsid w:val="007E4A32"/>
    <w:rsid w:val="007F025E"/>
    <w:rsid w:val="00811F66"/>
    <w:rsid w:val="00834792"/>
    <w:rsid w:val="008444D4"/>
    <w:rsid w:val="008448E2"/>
    <w:rsid w:val="008538E9"/>
    <w:rsid w:val="0085788D"/>
    <w:rsid w:val="0086318C"/>
    <w:rsid w:val="00877F91"/>
    <w:rsid w:val="00881273"/>
    <w:rsid w:val="00883EF7"/>
    <w:rsid w:val="00885DEF"/>
    <w:rsid w:val="00891BE9"/>
    <w:rsid w:val="008A1D8D"/>
    <w:rsid w:val="008A6BE3"/>
    <w:rsid w:val="008C7421"/>
    <w:rsid w:val="008D4B00"/>
    <w:rsid w:val="008D61D2"/>
    <w:rsid w:val="008F021E"/>
    <w:rsid w:val="008F36DF"/>
    <w:rsid w:val="0090675C"/>
    <w:rsid w:val="00910641"/>
    <w:rsid w:val="00911A66"/>
    <w:rsid w:val="00913FC2"/>
    <w:rsid w:val="00927F6F"/>
    <w:rsid w:val="00930567"/>
    <w:rsid w:val="00986817"/>
    <w:rsid w:val="0099020A"/>
    <w:rsid w:val="00994CE7"/>
    <w:rsid w:val="009A3C24"/>
    <w:rsid w:val="009B4F39"/>
    <w:rsid w:val="009C3E8A"/>
    <w:rsid w:val="009D2D23"/>
    <w:rsid w:val="009D4F9E"/>
    <w:rsid w:val="00A07EE7"/>
    <w:rsid w:val="00A27711"/>
    <w:rsid w:val="00A30330"/>
    <w:rsid w:val="00A3095A"/>
    <w:rsid w:val="00A46E2C"/>
    <w:rsid w:val="00AA2927"/>
    <w:rsid w:val="00AB4CCC"/>
    <w:rsid w:val="00AE5555"/>
    <w:rsid w:val="00B01E98"/>
    <w:rsid w:val="00B06960"/>
    <w:rsid w:val="00B1411A"/>
    <w:rsid w:val="00B14479"/>
    <w:rsid w:val="00B16DF8"/>
    <w:rsid w:val="00B30235"/>
    <w:rsid w:val="00B30EBD"/>
    <w:rsid w:val="00B31132"/>
    <w:rsid w:val="00B33BFC"/>
    <w:rsid w:val="00B4203F"/>
    <w:rsid w:val="00B50740"/>
    <w:rsid w:val="00B623C0"/>
    <w:rsid w:val="00B63EC7"/>
    <w:rsid w:val="00B80CAC"/>
    <w:rsid w:val="00B840F7"/>
    <w:rsid w:val="00B96491"/>
    <w:rsid w:val="00BA1E82"/>
    <w:rsid w:val="00BA362C"/>
    <w:rsid w:val="00BC0726"/>
    <w:rsid w:val="00BC2E35"/>
    <w:rsid w:val="00BC5F3F"/>
    <w:rsid w:val="00BD200E"/>
    <w:rsid w:val="00BE0DB2"/>
    <w:rsid w:val="00BF0D0D"/>
    <w:rsid w:val="00BF62D6"/>
    <w:rsid w:val="00C137ED"/>
    <w:rsid w:val="00C1770E"/>
    <w:rsid w:val="00C408EE"/>
    <w:rsid w:val="00C4189F"/>
    <w:rsid w:val="00C429B6"/>
    <w:rsid w:val="00C466D9"/>
    <w:rsid w:val="00C47EF1"/>
    <w:rsid w:val="00C5026E"/>
    <w:rsid w:val="00C55880"/>
    <w:rsid w:val="00C56BB8"/>
    <w:rsid w:val="00C67CDE"/>
    <w:rsid w:val="00C709BF"/>
    <w:rsid w:val="00C72A32"/>
    <w:rsid w:val="00C72CE1"/>
    <w:rsid w:val="00CA2D96"/>
    <w:rsid w:val="00CA75B1"/>
    <w:rsid w:val="00CA7FE8"/>
    <w:rsid w:val="00CB312B"/>
    <w:rsid w:val="00CC3E40"/>
    <w:rsid w:val="00CC4453"/>
    <w:rsid w:val="00CD1A1E"/>
    <w:rsid w:val="00CD3AED"/>
    <w:rsid w:val="00CD3B92"/>
    <w:rsid w:val="00CE0251"/>
    <w:rsid w:val="00CF6518"/>
    <w:rsid w:val="00D02994"/>
    <w:rsid w:val="00D222F5"/>
    <w:rsid w:val="00D30AC6"/>
    <w:rsid w:val="00D35B50"/>
    <w:rsid w:val="00D47543"/>
    <w:rsid w:val="00D50B1E"/>
    <w:rsid w:val="00D63382"/>
    <w:rsid w:val="00D66BC5"/>
    <w:rsid w:val="00D67BDA"/>
    <w:rsid w:val="00D7011A"/>
    <w:rsid w:val="00D70F8D"/>
    <w:rsid w:val="00D94DC8"/>
    <w:rsid w:val="00D95BF6"/>
    <w:rsid w:val="00D961BD"/>
    <w:rsid w:val="00DA1E5B"/>
    <w:rsid w:val="00DB0254"/>
    <w:rsid w:val="00DB7A7A"/>
    <w:rsid w:val="00DD3606"/>
    <w:rsid w:val="00DD3861"/>
    <w:rsid w:val="00DE04BF"/>
    <w:rsid w:val="00DF305D"/>
    <w:rsid w:val="00E1737F"/>
    <w:rsid w:val="00E17E2B"/>
    <w:rsid w:val="00E555E6"/>
    <w:rsid w:val="00E72305"/>
    <w:rsid w:val="00E82634"/>
    <w:rsid w:val="00E8435B"/>
    <w:rsid w:val="00E95023"/>
    <w:rsid w:val="00EB3A01"/>
    <w:rsid w:val="00ED51BA"/>
    <w:rsid w:val="00EE3C3E"/>
    <w:rsid w:val="00EE3CE7"/>
    <w:rsid w:val="00EE58D6"/>
    <w:rsid w:val="00EF2B2C"/>
    <w:rsid w:val="00EF3562"/>
    <w:rsid w:val="00F024B9"/>
    <w:rsid w:val="00F17527"/>
    <w:rsid w:val="00F31131"/>
    <w:rsid w:val="00F46532"/>
    <w:rsid w:val="00F52456"/>
    <w:rsid w:val="00F615DE"/>
    <w:rsid w:val="00F703EA"/>
    <w:rsid w:val="00F71743"/>
    <w:rsid w:val="00F72DE0"/>
    <w:rsid w:val="00F852A1"/>
    <w:rsid w:val="00F91286"/>
    <w:rsid w:val="00F93E1A"/>
    <w:rsid w:val="00FA585C"/>
    <w:rsid w:val="00FB7917"/>
    <w:rsid w:val="00FD18ED"/>
    <w:rsid w:val="00FD1EF8"/>
    <w:rsid w:val="00FD3596"/>
    <w:rsid w:val="00FD6C10"/>
    <w:rsid w:val="00FE360C"/>
    <w:rsid w:val="00FE3EA1"/>
    <w:rsid w:val="00FE4895"/>
    <w:rsid w:val="00FE6245"/>
    <w:rsid w:val="00FF1697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950149"/>
  <w15:docId w15:val="{ED27B133-5394-4893-8DB3-55818DDE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A31"/>
    <w:pPr>
      <w:spacing w:line="276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24701F"/>
    <w:pPr>
      <w:spacing w:before="100" w:beforeAutospacing="1" w:after="100" w:afterAutospacing="1" w:line="240" w:lineRule="auto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DE04BF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"/>
    <w:next w:val="a"/>
    <w:link w:val="40"/>
    <w:unhideWhenUsed/>
    <w:qFormat/>
    <w:locked/>
    <w:rsid w:val="006365E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1D1"/>
    <w:pPr>
      <w:ind w:left="720"/>
      <w:contextualSpacing/>
    </w:pPr>
  </w:style>
  <w:style w:type="character" w:styleId="a4">
    <w:name w:val="Hyperlink"/>
    <w:uiPriority w:val="99"/>
    <w:rsid w:val="006369B2"/>
    <w:rPr>
      <w:rFonts w:cs="Times New Roman"/>
      <w:color w:val="0000FF"/>
      <w:u w:val="single"/>
    </w:rPr>
  </w:style>
  <w:style w:type="table" w:styleId="a5">
    <w:name w:val="Table Grid"/>
    <w:basedOn w:val="a1"/>
    <w:uiPriority w:val="39"/>
    <w:rsid w:val="00501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16D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rsid w:val="00BC2E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C2E35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uiPriority w:val="9"/>
    <w:rsid w:val="0024701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">
    <w:name w:val="Неразрешенное упоминание1"/>
    <w:uiPriority w:val="99"/>
    <w:semiHidden/>
    <w:unhideWhenUsed/>
    <w:rsid w:val="00274FC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F305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link w:val="a8"/>
    <w:uiPriority w:val="99"/>
    <w:rsid w:val="00DF305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F305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link w:val="aa"/>
    <w:uiPriority w:val="99"/>
    <w:rsid w:val="00DF305D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DE04B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jlqj4b">
    <w:name w:val="jlqj4b"/>
    <w:rsid w:val="00286639"/>
  </w:style>
  <w:style w:type="paragraph" w:styleId="ac">
    <w:name w:val="No Spacing"/>
    <w:uiPriority w:val="1"/>
    <w:qFormat/>
    <w:rsid w:val="00286639"/>
    <w:rPr>
      <w:rFonts w:ascii="Times New Roman" w:eastAsia="Times New Roman" w:hAnsi="Times New Roman"/>
      <w:sz w:val="24"/>
      <w:szCs w:val="24"/>
    </w:rPr>
  </w:style>
  <w:style w:type="paragraph" w:styleId="ad">
    <w:name w:val="Title"/>
    <w:basedOn w:val="a"/>
    <w:next w:val="a"/>
    <w:link w:val="ae"/>
    <w:qFormat/>
    <w:locked/>
    <w:rsid w:val="00DA1E5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rsid w:val="00DA1E5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6365E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E72305"/>
    <w:pPr>
      <w:spacing w:line="240" w:lineRule="auto"/>
      <w:ind w:firstLine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link w:val="af"/>
    <w:uiPriority w:val="99"/>
    <w:semiHidden/>
    <w:rsid w:val="00E72305"/>
    <w:rPr>
      <w:lang w:eastAsia="en-US"/>
    </w:rPr>
  </w:style>
  <w:style w:type="character" w:styleId="af1">
    <w:name w:val="footnote reference"/>
    <w:uiPriority w:val="99"/>
    <w:semiHidden/>
    <w:unhideWhenUsed/>
    <w:rsid w:val="00E723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ТЕХНИЧЕСКИЙ КОМИТЕТ ПО СТАНДАРТИЗАЦИИ 29</vt:lpstr>
    </vt:vector>
  </TitlesOfParts>
  <Company>Microsoft</Company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КОМИТЕТ ПО СТАНДАРТИЗАЦИИ 29</dc:title>
  <dc:subject/>
  <dc:creator>R.Khartunova</dc:creator>
  <cp:keywords/>
  <cp:lastModifiedBy>selezneva</cp:lastModifiedBy>
  <cp:revision>2</cp:revision>
  <cp:lastPrinted>2023-09-18T13:42:00Z</cp:lastPrinted>
  <dcterms:created xsi:type="dcterms:W3CDTF">2026-03-30T11:36:00Z</dcterms:created>
  <dcterms:modified xsi:type="dcterms:W3CDTF">2026-03-30T11:36:00Z</dcterms:modified>
</cp:coreProperties>
</file>