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12BEA01E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657E57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24ACC2EC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543E1FC4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6116435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503BAB5A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6E558C39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62F167BB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6225690B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1C298C2A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00F2F364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036FE56D" w14:textId="77777777" w:rsidR="00194F18" w:rsidRPr="008F36DF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76C12C82" w14:textId="77777777" w:rsidR="00261444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на проект национального стандарта ГОСТ Р</w:t>
      </w:r>
    </w:p>
    <w:p w14:paraId="6BD57F7A" w14:textId="77777777" w:rsidR="00034DAB" w:rsidRPr="000B07B3" w:rsidRDefault="00034DAB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B07B3">
        <w:rPr>
          <w:b/>
          <w:sz w:val="28"/>
          <w:szCs w:val="28"/>
        </w:rPr>
        <w:t xml:space="preserve">«Единая система конструкторской документации. </w:t>
      </w:r>
      <w:r w:rsidR="009254A7" w:rsidRPr="009254A7">
        <w:rPr>
          <w:b/>
          <w:sz w:val="28"/>
          <w:szCs w:val="28"/>
        </w:rPr>
        <w:t>Указание размеров и предельных отклонений</w:t>
      </w:r>
      <w:r w:rsidRPr="000B07B3">
        <w:rPr>
          <w:b/>
          <w:sz w:val="28"/>
          <w:szCs w:val="28"/>
        </w:rPr>
        <w:t>»</w:t>
      </w:r>
      <w:r w:rsidRPr="000B07B3">
        <w:rPr>
          <w:b/>
          <w:sz w:val="28"/>
          <w:szCs w:val="28"/>
          <w:highlight w:val="yellow"/>
        </w:rPr>
        <w:t xml:space="preserve"> </w:t>
      </w:r>
    </w:p>
    <w:p w14:paraId="78885CD5" w14:textId="77777777" w:rsidR="00EE58D6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225E5EC7" w14:textId="5CBFF3E4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  <w:r w:rsidRPr="00541DAB">
        <w:rPr>
          <w:sz w:val="28"/>
          <w:szCs w:val="28"/>
        </w:rPr>
        <w:t xml:space="preserve">г. Москва                                                          </w:t>
      </w:r>
      <w:r w:rsidR="008F36DF" w:rsidRPr="00541DAB">
        <w:rPr>
          <w:sz w:val="28"/>
          <w:szCs w:val="28"/>
        </w:rPr>
        <w:t xml:space="preserve">                  </w:t>
      </w:r>
      <w:r w:rsidR="00C7032B">
        <w:rPr>
          <w:sz w:val="28"/>
          <w:szCs w:val="28"/>
        </w:rPr>
        <w:t xml:space="preserve">          </w:t>
      </w:r>
      <w:r w:rsidR="008F36DF" w:rsidRPr="00541DAB">
        <w:rPr>
          <w:sz w:val="28"/>
          <w:szCs w:val="28"/>
        </w:rPr>
        <w:t xml:space="preserve">     </w:t>
      </w:r>
      <w:r w:rsidR="00DA1E5B" w:rsidRPr="00541DAB">
        <w:rPr>
          <w:sz w:val="28"/>
          <w:szCs w:val="28"/>
        </w:rPr>
        <w:t xml:space="preserve"> </w:t>
      </w:r>
      <w:r w:rsidR="00286639" w:rsidRPr="00541DAB">
        <w:rPr>
          <w:sz w:val="28"/>
          <w:szCs w:val="28"/>
        </w:rPr>
        <w:t xml:space="preserve"> </w:t>
      </w:r>
      <w:r w:rsidRPr="00541DAB">
        <w:rPr>
          <w:sz w:val="28"/>
          <w:szCs w:val="28"/>
        </w:rPr>
        <w:t xml:space="preserve"> </w:t>
      </w:r>
      <w:r w:rsidR="009254A7">
        <w:rPr>
          <w:sz w:val="28"/>
          <w:szCs w:val="28"/>
        </w:rPr>
        <w:t xml:space="preserve">  </w:t>
      </w:r>
      <w:proofErr w:type="gramStart"/>
      <w:r w:rsidR="009254A7">
        <w:rPr>
          <w:sz w:val="28"/>
          <w:szCs w:val="28"/>
        </w:rPr>
        <w:t xml:space="preserve">   </w:t>
      </w:r>
      <w:r w:rsidR="00C7032B">
        <w:rPr>
          <w:sz w:val="28"/>
          <w:szCs w:val="28"/>
        </w:rPr>
        <w:t>(</w:t>
      </w:r>
      <w:proofErr w:type="gramEnd"/>
      <w:r w:rsidR="00C7032B">
        <w:rPr>
          <w:sz w:val="28"/>
          <w:szCs w:val="28"/>
        </w:rPr>
        <w:t>проект)</w:t>
      </w:r>
    </w:p>
    <w:p w14:paraId="1966B477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</w:p>
    <w:p w14:paraId="1425E73D" w14:textId="77777777" w:rsidR="00FF4361" w:rsidRPr="00A30330" w:rsidRDefault="00FF4361" w:rsidP="0005449D">
      <w:pPr>
        <w:spacing w:line="360" w:lineRule="auto"/>
        <w:ind w:firstLine="708"/>
        <w:rPr>
          <w:sz w:val="28"/>
          <w:szCs w:val="28"/>
        </w:rPr>
      </w:pPr>
      <w:r w:rsidRPr="00BA1E82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8F36DF">
        <w:rPr>
          <w:sz w:val="28"/>
          <w:szCs w:val="28"/>
        </w:rPr>
        <w:t xml:space="preserve">ГОСТ Р </w:t>
      </w:r>
      <w:r w:rsidR="00034DAB" w:rsidRPr="00034DAB">
        <w:rPr>
          <w:sz w:val="28"/>
          <w:szCs w:val="28"/>
        </w:rPr>
        <w:t xml:space="preserve">«Единая система конструкторской документации. </w:t>
      </w:r>
      <w:r w:rsidR="009254A7" w:rsidRPr="009254A7">
        <w:rPr>
          <w:sz w:val="28"/>
          <w:szCs w:val="28"/>
        </w:rPr>
        <w:t>Указание размеров и предельных отклонений</w:t>
      </w:r>
      <w:r w:rsidR="00034DAB" w:rsidRPr="00034DAB">
        <w:rPr>
          <w:sz w:val="28"/>
          <w:szCs w:val="28"/>
        </w:rPr>
        <w:t xml:space="preserve">» </w:t>
      </w:r>
      <w:r w:rsidRPr="00A30330">
        <w:rPr>
          <w:sz w:val="28"/>
          <w:szCs w:val="28"/>
        </w:rPr>
        <w:t>(далее – проект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>разработан Акционерным обществом «Научно-исследовательский центр «Прикладная Логистика» (АО НИЦ «Прикладная Логистика»)</w:t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</w:t>
      </w:r>
      <w:r w:rsidR="00034DAB" w:rsidRPr="00C7032B">
        <w:rPr>
          <w:rFonts w:eastAsia="Calibri"/>
          <w:sz w:val="28"/>
          <w:szCs w:val="28"/>
        </w:rPr>
        <w:t>Программы национальной стандартизации на 202</w:t>
      </w:r>
      <w:r w:rsidR="00361B11" w:rsidRPr="00C7032B">
        <w:rPr>
          <w:rFonts w:eastAsia="Calibri"/>
          <w:sz w:val="28"/>
          <w:szCs w:val="28"/>
        </w:rPr>
        <w:t>3</w:t>
      </w:r>
      <w:r w:rsidR="00034DAB" w:rsidRPr="00C7032B">
        <w:rPr>
          <w:rFonts w:eastAsia="Calibri"/>
          <w:sz w:val="28"/>
          <w:szCs w:val="28"/>
        </w:rPr>
        <w:t xml:space="preserve"> г. (шифр темы 1.0.482-1.0</w:t>
      </w:r>
      <w:r w:rsidR="00361B11" w:rsidRPr="00C7032B">
        <w:rPr>
          <w:rFonts w:eastAsia="Calibri"/>
          <w:sz w:val="28"/>
          <w:szCs w:val="28"/>
        </w:rPr>
        <w:t>6</w:t>
      </w:r>
      <w:r w:rsidR="009254A7" w:rsidRPr="00C7032B">
        <w:rPr>
          <w:rFonts w:eastAsia="Calibri"/>
          <w:sz w:val="28"/>
          <w:szCs w:val="28"/>
        </w:rPr>
        <w:t>8</w:t>
      </w:r>
      <w:r w:rsidR="00034DAB" w:rsidRPr="00C7032B">
        <w:rPr>
          <w:rFonts w:eastAsia="Calibri"/>
          <w:sz w:val="28"/>
          <w:szCs w:val="28"/>
        </w:rPr>
        <w:t xml:space="preserve">.23) и </w:t>
      </w:r>
      <w:r w:rsidR="00361B11" w:rsidRPr="00C7032B">
        <w:rPr>
          <w:sz w:val="28"/>
          <w:szCs w:val="28"/>
        </w:rPr>
        <w:t>Государственного контракта № 25209.442019.06.002 от 30.06.2025г. (идентификатор государственного контракта 1770559633925</w:t>
      </w:r>
      <w:r w:rsidR="00361B11" w:rsidRPr="00C7032B">
        <w:rPr>
          <w:sz w:val="28"/>
          <w:szCs w:val="28"/>
          <w:lang w:val="en-US"/>
        </w:rPr>
        <w:t>Z</w:t>
      </w:r>
      <w:r w:rsidR="00361B11" w:rsidRPr="00C7032B">
        <w:rPr>
          <w:sz w:val="28"/>
          <w:szCs w:val="28"/>
        </w:rPr>
        <w:t>000521)</w:t>
      </w:r>
      <w:r w:rsidR="00034DAB" w:rsidRPr="00C7032B">
        <w:rPr>
          <w:rFonts w:eastAsia="Calibri"/>
          <w:sz w:val="28"/>
          <w:szCs w:val="28"/>
        </w:rPr>
        <w:t>.</w:t>
      </w:r>
    </w:p>
    <w:p w14:paraId="0D24D6DF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 Р</w:t>
      </w:r>
      <w:r w:rsidR="00927F6F">
        <w:rPr>
          <w:sz w:val="28"/>
          <w:szCs w:val="28"/>
        </w:rPr>
        <w:t xml:space="preserve"> 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5953D5F8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00446456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5AC9F788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1129F068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10F87909" w14:textId="777777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стандартизации.</w:t>
      </w:r>
    </w:p>
    <w:p w14:paraId="27480B0A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11DC3E06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49443948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59565579" w14:textId="77777777" w:rsidR="00194F18" w:rsidRPr="008F36DF" w:rsidRDefault="00194F18" w:rsidP="00286639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 общетехнических систем, а также других национальных стандартов, распространяющихся на данный объект стандартизации.</w:t>
      </w:r>
    </w:p>
    <w:p w14:paraId="153A4DDB" w14:textId="6553CCAC" w:rsidR="00C7032B" w:rsidRDefault="00194F18" w:rsidP="00C7032B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  <w:r w:rsidR="00C7032B" w:rsidRPr="00C7032B">
        <w:rPr>
          <w:sz w:val="28"/>
          <w:szCs w:val="28"/>
        </w:rPr>
        <w:t xml:space="preserve"> Стандарт является развитием действующего ГОСТ 2.307–2011 и разрабатывается в составе пакета новых редакций ГОСТ Р ЕСКД.</w:t>
      </w:r>
    </w:p>
    <w:p w14:paraId="37D70164" w14:textId="2654C94C" w:rsidR="00C7032B" w:rsidRPr="00C7032B" w:rsidRDefault="00214F35" w:rsidP="00C7032B">
      <w:pPr>
        <w:spacing w:line="360" w:lineRule="auto"/>
        <w:ind w:firstLine="708"/>
        <w:rPr>
          <w:sz w:val="28"/>
          <w:szCs w:val="28"/>
        </w:rPr>
      </w:pPr>
      <w:r w:rsidRPr="00214F35">
        <w:rPr>
          <w:sz w:val="28"/>
          <w:szCs w:val="28"/>
        </w:rPr>
        <w:t xml:space="preserve">Проект ГОСТ Р </w:t>
      </w:r>
      <w:bookmarkStart w:id="0" w:name="_Hlk222243024"/>
      <w:r w:rsidR="00C7032B">
        <w:rPr>
          <w:sz w:val="28"/>
          <w:szCs w:val="28"/>
        </w:rPr>
        <w:t>2.307</w:t>
      </w:r>
      <w:r w:rsidR="00C7032B" w:rsidRPr="00C7032B">
        <w:rPr>
          <w:sz w:val="28"/>
          <w:szCs w:val="28"/>
        </w:rPr>
        <w:t xml:space="preserve"> устанавливает правила указания размеров и предельных отклонений размеров графическими и текстовыми средствами на чертежах и в электронных геометрических моделях</w:t>
      </w:r>
      <w:r w:rsidR="00C7032B">
        <w:rPr>
          <w:sz w:val="28"/>
          <w:szCs w:val="28"/>
        </w:rPr>
        <w:t xml:space="preserve"> (ЭГМ)</w:t>
      </w:r>
      <w:r w:rsidR="00C7032B" w:rsidRPr="00C7032B">
        <w:rPr>
          <w:sz w:val="28"/>
          <w:szCs w:val="28"/>
        </w:rPr>
        <w:t xml:space="preserve"> изделий машиностроения.</w:t>
      </w:r>
    </w:p>
    <w:p w14:paraId="5B47D896" w14:textId="732AD1F2" w:rsidR="00C7032B" w:rsidRPr="00C7032B" w:rsidRDefault="00C7032B" w:rsidP="00C7032B">
      <w:pPr>
        <w:spacing w:line="360" w:lineRule="auto"/>
        <w:ind w:firstLine="708"/>
        <w:rPr>
          <w:sz w:val="28"/>
          <w:szCs w:val="28"/>
        </w:rPr>
      </w:pPr>
      <w:r w:rsidRPr="00C7032B">
        <w:rPr>
          <w:sz w:val="28"/>
          <w:szCs w:val="28"/>
        </w:rPr>
        <w:lastRenderedPageBreak/>
        <w:t xml:space="preserve">Под графическими и текстовыми средствами подразумеваются различные линии (например, выносные линии и размерные) и графические символы (цифры, буквы, знаки и т. п.), используемые для указания размеров непосредственно на изображении или на модели и предназначенные для восприятия и интерпретации человеком. </w:t>
      </w:r>
    </w:p>
    <w:p w14:paraId="178A36CF" w14:textId="0E831C35" w:rsidR="00C7032B" w:rsidRPr="00F329B2" w:rsidRDefault="00C7032B" w:rsidP="00C7032B">
      <w:pPr>
        <w:spacing w:line="360" w:lineRule="auto"/>
        <w:ind w:firstLine="708"/>
        <w:rPr>
          <w:sz w:val="28"/>
          <w:szCs w:val="28"/>
        </w:rPr>
      </w:pPr>
      <w:r w:rsidRPr="00C7032B">
        <w:rPr>
          <w:sz w:val="28"/>
          <w:szCs w:val="28"/>
        </w:rPr>
        <w:t>Требования к изготовлению в электронном чертеже или ЭГМ быва</w:t>
      </w:r>
      <w:r>
        <w:rPr>
          <w:sz w:val="28"/>
          <w:szCs w:val="28"/>
        </w:rPr>
        <w:t>ю</w:t>
      </w:r>
      <w:r w:rsidRPr="00C7032B">
        <w:rPr>
          <w:sz w:val="28"/>
          <w:szCs w:val="28"/>
        </w:rPr>
        <w:t>т двух видов</w:t>
      </w:r>
      <w:r>
        <w:rPr>
          <w:sz w:val="28"/>
          <w:szCs w:val="28"/>
        </w:rPr>
        <w:t xml:space="preserve"> – </w:t>
      </w:r>
      <w:r w:rsidRPr="00C7032B">
        <w:rPr>
          <w:sz w:val="28"/>
          <w:szCs w:val="28"/>
        </w:rPr>
        <w:t>графический и семантический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PMI</w:t>
      </w:r>
      <w:r w:rsidRPr="00C7032B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product</w:t>
      </w:r>
      <w:r w:rsidRPr="00C703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manufacturing</w:t>
      </w:r>
      <w:r w:rsidRPr="00C703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information</w:t>
      </w:r>
      <w:r w:rsidRPr="00C7032B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C7032B">
        <w:rPr>
          <w:sz w:val="28"/>
          <w:szCs w:val="28"/>
        </w:rPr>
        <w:t>Графически</w:t>
      </w:r>
      <w:r>
        <w:rPr>
          <w:sz w:val="28"/>
          <w:szCs w:val="28"/>
        </w:rPr>
        <w:t xml:space="preserve">й </w:t>
      </w:r>
      <w:r>
        <w:rPr>
          <w:sz w:val="28"/>
          <w:szCs w:val="28"/>
          <w:lang w:val="en-US"/>
        </w:rPr>
        <w:t>PMI</w:t>
      </w:r>
      <w:r w:rsidRPr="00C7032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7032B">
        <w:rPr>
          <w:sz w:val="28"/>
          <w:szCs w:val="28"/>
        </w:rPr>
        <w:t xml:space="preserve"> это визуальные аннотации, «видимые» человеку на 3D </w:t>
      </w:r>
      <w:r>
        <w:rPr>
          <w:sz w:val="28"/>
          <w:szCs w:val="28"/>
        </w:rPr>
        <w:t xml:space="preserve">или </w:t>
      </w:r>
      <w:r w:rsidRPr="00C7032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</w:t>
      </w:r>
      <w:r w:rsidRPr="00C7032B">
        <w:rPr>
          <w:sz w:val="28"/>
          <w:szCs w:val="28"/>
        </w:rPr>
        <w:t xml:space="preserve">модели: размеры, допуски, шероховатости, технические требования, выноски и т. п. Они привязаны к геометрии и отображаются в </w:t>
      </w:r>
      <w:r>
        <w:rPr>
          <w:sz w:val="28"/>
          <w:szCs w:val="28"/>
        </w:rPr>
        <w:t>САПР</w:t>
      </w:r>
      <w:r w:rsidRPr="00C7032B">
        <w:rPr>
          <w:sz w:val="28"/>
          <w:szCs w:val="28"/>
        </w:rPr>
        <w:t xml:space="preserve"> как элементы оформления. Их главная задача</w:t>
      </w:r>
      <w:r>
        <w:rPr>
          <w:sz w:val="28"/>
          <w:szCs w:val="28"/>
        </w:rPr>
        <w:t xml:space="preserve"> –</w:t>
      </w:r>
      <w:r w:rsidRPr="00C7032B">
        <w:rPr>
          <w:sz w:val="28"/>
          <w:szCs w:val="28"/>
        </w:rPr>
        <w:t xml:space="preserve">наглядно передать информацию </w:t>
      </w:r>
      <w:r>
        <w:rPr>
          <w:sz w:val="28"/>
          <w:szCs w:val="28"/>
        </w:rPr>
        <w:t xml:space="preserve">для производства </w:t>
      </w:r>
      <w:r w:rsidRPr="00C7032B">
        <w:rPr>
          <w:sz w:val="28"/>
          <w:szCs w:val="28"/>
        </w:rPr>
        <w:t>прямо на модели</w:t>
      </w:r>
      <w:r>
        <w:rPr>
          <w:sz w:val="28"/>
          <w:szCs w:val="28"/>
        </w:rPr>
        <w:t>, без разработки для этих целей чертежа</w:t>
      </w:r>
      <w:r w:rsidRPr="00C7032B">
        <w:rPr>
          <w:sz w:val="28"/>
          <w:szCs w:val="28"/>
        </w:rPr>
        <w:t>.</w:t>
      </w:r>
      <w:r w:rsidR="00F329B2">
        <w:rPr>
          <w:sz w:val="28"/>
          <w:szCs w:val="28"/>
        </w:rPr>
        <w:t xml:space="preserve"> Требования ГОСТ Р 2.307 распространены и на электронные геометрические модели в части графического </w:t>
      </w:r>
      <w:r w:rsidR="00F329B2">
        <w:rPr>
          <w:sz w:val="28"/>
          <w:szCs w:val="28"/>
          <w:lang w:val="en-US"/>
        </w:rPr>
        <w:t>PMI</w:t>
      </w:r>
      <w:r w:rsidR="00F329B2">
        <w:rPr>
          <w:sz w:val="28"/>
          <w:szCs w:val="28"/>
        </w:rPr>
        <w:t xml:space="preserve"> (совместно с ГОСТ Р 2.052, описывающим особенности отображения аннотаций в модели). </w:t>
      </w:r>
    </w:p>
    <w:p w14:paraId="2C6564D7" w14:textId="37EA622F" w:rsidR="00C7032B" w:rsidRDefault="00C7032B" w:rsidP="00C7032B">
      <w:pPr>
        <w:spacing w:line="360" w:lineRule="auto"/>
        <w:ind w:firstLine="708"/>
        <w:rPr>
          <w:sz w:val="28"/>
          <w:szCs w:val="28"/>
        </w:rPr>
      </w:pPr>
      <w:r w:rsidRPr="00C7032B">
        <w:rPr>
          <w:sz w:val="28"/>
          <w:szCs w:val="28"/>
        </w:rPr>
        <w:t xml:space="preserve">Семантический PMI </w:t>
      </w:r>
      <w:r>
        <w:rPr>
          <w:sz w:val="28"/>
          <w:szCs w:val="28"/>
        </w:rPr>
        <w:t xml:space="preserve">– </w:t>
      </w:r>
      <w:r w:rsidRPr="00C7032B">
        <w:rPr>
          <w:sz w:val="28"/>
          <w:szCs w:val="28"/>
        </w:rPr>
        <w:t xml:space="preserve">это машиночитаемая (структурированная) информация, которая связывает аннотации с конкретными геометрическими элементами и задаёт их смысл для автоматизированной обработки. Семантический PMI хранит не только значение (например, «допуск 0,1 мм»), но и тип объекта (размер/допуск формы), ссылки на грани/рёбра, единицы измерения, статусы и пр. Благодаря этому </w:t>
      </w:r>
      <w:r w:rsidR="00F329B2">
        <w:rPr>
          <w:sz w:val="28"/>
          <w:szCs w:val="28"/>
        </w:rPr>
        <w:t xml:space="preserve">автоматизированные </w:t>
      </w:r>
      <w:r w:rsidRPr="00C7032B">
        <w:rPr>
          <w:sz w:val="28"/>
          <w:szCs w:val="28"/>
        </w:rPr>
        <w:t>системы могут автоматически считывать данные для генерации управляющих программ, планирования контроля, формирования спецификаций и т. д.</w:t>
      </w:r>
    </w:p>
    <w:p w14:paraId="35C568CF" w14:textId="6E854C9A" w:rsidR="00F329B2" w:rsidRPr="00F329B2" w:rsidRDefault="00F329B2" w:rsidP="00C7032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перехода от графического </w:t>
      </w:r>
      <w:r>
        <w:rPr>
          <w:sz w:val="28"/>
          <w:szCs w:val="28"/>
          <w:lang w:val="en-US"/>
        </w:rPr>
        <w:t>PMI</w:t>
      </w:r>
      <w:r>
        <w:rPr>
          <w:sz w:val="28"/>
          <w:szCs w:val="28"/>
        </w:rPr>
        <w:t xml:space="preserve"> к семантическому необходимо иметь более формализированное всех элементов</w:t>
      </w:r>
      <w:r w:rsidR="0039349E">
        <w:rPr>
          <w:sz w:val="28"/>
          <w:szCs w:val="28"/>
        </w:rPr>
        <w:t>,</w:t>
      </w:r>
      <w:r>
        <w:rPr>
          <w:sz w:val="28"/>
          <w:szCs w:val="28"/>
        </w:rPr>
        <w:t xml:space="preserve"> его составляющих: линий, размерных чисел, символов, знаков и т.д. Также это необходимо для разработки стандартизованного формата данных для обмена 3</w:t>
      </w:r>
      <w:r>
        <w:rPr>
          <w:sz w:val="28"/>
          <w:szCs w:val="28"/>
          <w:lang w:val="en-US"/>
        </w:rPr>
        <w:t>D</w:t>
      </w:r>
      <w:r w:rsidRPr="00F32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моделями, содержащими размеры и предельные отклонения. В проекте ГОСТ </w:t>
      </w:r>
      <w:r>
        <w:rPr>
          <w:sz w:val="28"/>
          <w:szCs w:val="28"/>
        </w:rPr>
        <w:lastRenderedPageBreak/>
        <w:t xml:space="preserve">Р 2.307 сделан первый шаг </w:t>
      </w:r>
      <w:r w:rsidR="009C01B2">
        <w:rPr>
          <w:sz w:val="28"/>
          <w:szCs w:val="28"/>
        </w:rPr>
        <w:t>к более формальному структурированию и описанию всех требований.</w:t>
      </w:r>
    </w:p>
    <w:p w14:paraId="6DCEADC0" w14:textId="738D9547" w:rsidR="00C7032B" w:rsidRPr="009C01B2" w:rsidRDefault="009C01B2" w:rsidP="009C01B2">
      <w:pPr>
        <w:spacing w:line="360" w:lineRule="auto"/>
        <w:ind w:firstLine="708"/>
        <w:rPr>
          <w:sz w:val="28"/>
          <w:szCs w:val="28"/>
        </w:rPr>
      </w:pPr>
      <w:r w:rsidRPr="009C01B2">
        <w:rPr>
          <w:sz w:val="28"/>
          <w:szCs w:val="28"/>
        </w:rPr>
        <w:t xml:space="preserve">В стандарт введены подразделы, по которым распределены все требования, что делает использование стандарта более удобным, так как содержание </w:t>
      </w:r>
      <w:r w:rsidR="0039349E">
        <w:rPr>
          <w:sz w:val="28"/>
          <w:szCs w:val="28"/>
        </w:rPr>
        <w:t xml:space="preserve">стандарта </w:t>
      </w:r>
      <w:r w:rsidRPr="009C01B2">
        <w:rPr>
          <w:sz w:val="28"/>
          <w:szCs w:val="28"/>
        </w:rPr>
        <w:t>стало объемным и наглядным и позволяет быстро обратиться к интересующей информации.</w:t>
      </w:r>
    </w:p>
    <w:p w14:paraId="209A279C" w14:textId="15851C7D" w:rsidR="00170AF3" w:rsidRPr="00170AF3" w:rsidRDefault="00170AF3" w:rsidP="00170AF3">
      <w:pPr>
        <w:spacing w:line="360" w:lineRule="auto"/>
        <w:ind w:firstLine="708"/>
        <w:rPr>
          <w:sz w:val="28"/>
          <w:szCs w:val="28"/>
        </w:rPr>
      </w:pPr>
      <w:r w:rsidRPr="00170AF3">
        <w:rPr>
          <w:sz w:val="28"/>
          <w:szCs w:val="28"/>
        </w:rPr>
        <w:t xml:space="preserve">В стандарт добавлен подраздел </w:t>
      </w:r>
      <w:r w:rsidR="0039349E">
        <w:rPr>
          <w:sz w:val="28"/>
          <w:szCs w:val="28"/>
        </w:rPr>
        <w:t xml:space="preserve">6.9 </w:t>
      </w:r>
      <w:r w:rsidRPr="00170AF3">
        <w:rPr>
          <w:sz w:val="28"/>
          <w:szCs w:val="28"/>
        </w:rPr>
        <w:t>и приложение</w:t>
      </w:r>
      <w:r>
        <w:rPr>
          <w:sz w:val="28"/>
          <w:szCs w:val="28"/>
        </w:rPr>
        <w:t xml:space="preserve"> Б</w:t>
      </w:r>
      <w:r w:rsidRPr="00170AF3">
        <w:rPr>
          <w:sz w:val="28"/>
          <w:szCs w:val="28"/>
        </w:rPr>
        <w:t>, детализирующие требования п. 5.14 ГОСТ Р 2.109-2023, в котором указано, что «</w:t>
      </w:r>
      <w:r w:rsidR="0039349E">
        <w:rPr>
          <w:sz w:val="28"/>
          <w:szCs w:val="28"/>
        </w:rPr>
        <w:t>р</w:t>
      </w:r>
      <w:r w:rsidRPr="00170AF3">
        <w:rPr>
          <w:sz w:val="28"/>
          <w:szCs w:val="28"/>
        </w:rPr>
        <w:t>азмер притупления (фаски, радиуса), при необходимости, может быть указан рядом с соответствующим знаком». Подраздел 6.9 и приложение Б ГОСТ Р 2.307 описывают как</w:t>
      </w:r>
      <w:r>
        <w:rPr>
          <w:sz w:val="28"/>
          <w:szCs w:val="28"/>
        </w:rPr>
        <w:t xml:space="preserve"> именно использовать </w:t>
      </w:r>
      <w:r w:rsidRPr="00170AF3">
        <w:rPr>
          <w:sz w:val="28"/>
          <w:szCs w:val="28"/>
        </w:rPr>
        <w:t>знак</w:t>
      </w:r>
      <w:r>
        <w:rPr>
          <w:sz w:val="28"/>
          <w:szCs w:val="28"/>
        </w:rPr>
        <w:t>, приведенный в ГОСТ Р 2.109,</w:t>
      </w:r>
      <w:r w:rsidRPr="00170AF3">
        <w:rPr>
          <w:sz w:val="28"/>
          <w:szCs w:val="28"/>
        </w:rPr>
        <w:t xml:space="preserve"> для указания размеров притуплений в виде кромок неопределенной формы, если их указание необходимо. </w:t>
      </w:r>
      <w:r w:rsidR="0039349E">
        <w:rPr>
          <w:sz w:val="28"/>
          <w:szCs w:val="28"/>
        </w:rPr>
        <w:t>Требования базируются на международных стандартах.</w:t>
      </w:r>
    </w:p>
    <w:bookmarkEnd w:id="0"/>
    <w:p w14:paraId="6D335479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Содержание </w:t>
      </w:r>
      <w:r w:rsidR="00A30330">
        <w:rPr>
          <w:sz w:val="28"/>
          <w:szCs w:val="28"/>
        </w:rPr>
        <w:t xml:space="preserve">проекта </w:t>
      </w:r>
      <w:r w:rsidRPr="008F36DF">
        <w:rPr>
          <w:sz w:val="28"/>
          <w:szCs w:val="28"/>
        </w:rPr>
        <w:t>стандарта полностью соответствует объекту стандартизации и области его применения.</w:t>
      </w:r>
    </w:p>
    <w:p w14:paraId="653CA1E3" w14:textId="77777777" w:rsidR="00CA75B1" w:rsidRPr="008F36DF" w:rsidRDefault="00CA75B1" w:rsidP="00CA75B1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Национальный стандарт разрабатывается впервые.</w:t>
      </w:r>
    </w:p>
    <w:p w14:paraId="621B6C16" w14:textId="77777777" w:rsidR="00286639" w:rsidRPr="00BA1E82" w:rsidRDefault="00194F18" w:rsidP="00286639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32867AA0" w14:textId="70391F43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В ходе рассмотрения первой редакции проекта ГОСТ Р поступили замечания и предложения от </w:t>
      </w:r>
      <w:r w:rsidR="009254A7" w:rsidRPr="009254A7">
        <w:rPr>
          <w:sz w:val="28"/>
          <w:szCs w:val="28"/>
        </w:rPr>
        <w:t>51 организаций: АО «Адмиралтейские верфи», АО «Вертолеты России», АО «ВПК «НПО машиностроения», АО «ИЭМЗ «Купол», АО «Казанский вертолетный завод», АО «КБП», АО «Коломенский завод» ОП ООО «ТМХ Инжиниринг» в г.</w:t>
      </w:r>
      <w:r w:rsidR="007D6EAF">
        <w:rPr>
          <w:sz w:val="28"/>
          <w:szCs w:val="28"/>
        </w:rPr>
        <w:t xml:space="preserve"> </w:t>
      </w:r>
      <w:r w:rsidR="009254A7" w:rsidRPr="009254A7">
        <w:rPr>
          <w:sz w:val="28"/>
          <w:szCs w:val="28"/>
        </w:rPr>
        <w:t xml:space="preserve">Коломна, АО «Композит», АО «Концерн «Созвездие», АО «Концерн ВКО «Алмаз-Антей», АО «Концерн НПО «Аврора», АО «НИИЭП», АО «НИПТБ «Онега, АО «НПК «КБМ», АО «НПО «Высокоточные комплексы», АО «НПО «Квант», АО «НПО «Электромашина», АО «НЦВ Миль и Камов», АО «ОДК-Авиадвигатель», АО «ПО «Севмаш», АО «ПО «УОМЗ», АО «Российские космические системы», АО «Северное ПКБ», АО «Северо-западный региональный центр Концерна </w:t>
      </w:r>
      <w:r w:rsidR="009254A7" w:rsidRPr="009254A7">
        <w:rPr>
          <w:sz w:val="28"/>
          <w:szCs w:val="28"/>
        </w:rPr>
        <w:lastRenderedPageBreak/>
        <w:t>ВКО «Алмаз-Антей» - Обуховский завод», АО «Системы управления», АО «Туполев», АО «УКБТМ», АО «ЦКБ «Коралл», АО «ЦКБ МТ «Рубин», АО «</w:t>
      </w:r>
      <w:proofErr w:type="spellStart"/>
      <w:r w:rsidR="009254A7" w:rsidRPr="009254A7">
        <w:rPr>
          <w:sz w:val="28"/>
          <w:szCs w:val="28"/>
        </w:rPr>
        <w:t>ЦНИИмаш</w:t>
      </w:r>
      <w:proofErr w:type="spellEnd"/>
      <w:r w:rsidR="009254A7" w:rsidRPr="009254A7">
        <w:rPr>
          <w:sz w:val="28"/>
          <w:szCs w:val="28"/>
        </w:rPr>
        <w:t>», АО «ЦНИИТОЧМАШ», АО НПП «Респиратор», Ассоциация «Объединение производителей железнодорожной техники», В/ч 31800 Министерства обороны РФ, Госкорпорация «Росатом», Группа «ТМХ», Корпорация "Московский институт теплотехники", Научно-исследовательский испытательный центр (г. Москва) ЦНИИ ВКС МО РФ, НИЦ «Курчатовский институт», ОКБ Сухого, ООО «КСК», ПАО «Амурский судостроительный завод», ПАО «ОАК», ПАО «ОДК-УМПО», ПАО «Яковлев», ПКТИ «</w:t>
      </w:r>
      <w:proofErr w:type="spellStart"/>
      <w:r w:rsidR="009254A7" w:rsidRPr="009254A7">
        <w:rPr>
          <w:sz w:val="28"/>
          <w:szCs w:val="28"/>
        </w:rPr>
        <w:t>Атомармпроект</w:t>
      </w:r>
      <w:proofErr w:type="spellEnd"/>
      <w:r w:rsidR="009254A7" w:rsidRPr="009254A7">
        <w:rPr>
          <w:sz w:val="28"/>
          <w:szCs w:val="28"/>
        </w:rPr>
        <w:t>», Союз «Объединение вагоностроителей», ФГБУ «16 ЦНИИИ МО РФ»,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России.</w:t>
      </w:r>
      <w:r w:rsidRPr="00574C74">
        <w:rPr>
          <w:sz w:val="28"/>
          <w:szCs w:val="28"/>
        </w:rPr>
        <w:t xml:space="preserve"> В отзывах </w:t>
      </w:r>
      <w:r w:rsidR="00F52456">
        <w:rPr>
          <w:sz w:val="28"/>
          <w:szCs w:val="28"/>
        </w:rPr>
        <w:t>2</w:t>
      </w:r>
      <w:r w:rsidR="009254A7">
        <w:rPr>
          <w:sz w:val="28"/>
          <w:szCs w:val="28"/>
        </w:rPr>
        <w:t>2</w:t>
      </w:r>
      <w:r w:rsidRPr="00574C74">
        <w:rPr>
          <w:sz w:val="28"/>
          <w:szCs w:val="28"/>
        </w:rPr>
        <w:t xml:space="preserve"> организации замечания и предложения отсутствуют.</w:t>
      </w:r>
    </w:p>
    <w:p w14:paraId="6C1B218A" w14:textId="77777777" w:rsidR="009254A7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9254A7" w:rsidRPr="009254A7">
        <w:rPr>
          <w:sz w:val="28"/>
          <w:szCs w:val="28"/>
        </w:rPr>
        <w:t xml:space="preserve">601 полученных замечаний: принято – 285, принято частично – 26, </w:t>
      </w:r>
      <w:r w:rsidR="009254A7">
        <w:rPr>
          <w:sz w:val="28"/>
          <w:szCs w:val="28"/>
        </w:rPr>
        <w:t>о</w:t>
      </w:r>
      <w:r w:rsidR="009254A7" w:rsidRPr="009254A7">
        <w:rPr>
          <w:sz w:val="28"/>
          <w:szCs w:val="28"/>
        </w:rPr>
        <w:t>тклонено – 90</w:t>
      </w:r>
      <w:r w:rsidR="009254A7">
        <w:rPr>
          <w:sz w:val="28"/>
          <w:szCs w:val="28"/>
        </w:rPr>
        <w:t xml:space="preserve"> </w:t>
      </w:r>
      <w:r w:rsidR="009254A7" w:rsidRPr="00574C74">
        <w:rPr>
          <w:sz w:val="28"/>
          <w:szCs w:val="28"/>
        </w:rPr>
        <w:t>(обоснования приведены в сводке отзывов)</w:t>
      </w:r>
      <w:r w:rsidR="009254A7">
        <w:rPr>
          <w:sz w:val="28"/>
          <w:szCs w:val="28"/>
        </w:rPr>
        <w:t xml:space="preserve">, </w:t>
      </w:r>
      <w:r w:rsidR="009254A7" w:rsidRPr="009254A7">
        <w:rPr>
          <w:sz w:val="28"/>
          <w:szCs w:val="28"/>
        </w:rPr>
        <w:t>принято к сведению – 200.</w:t>
      </w:r>
    </w:p>
    <w:p w14:paraId="67E2AE08" w14:textId="2718E617" w:rsid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Проект стандарта существенно доработан по замечаниям </w:t>
      </w:r>
      <w:r w:rsidR="009254A7" w:rsidRPr="009254A7">
        <w:rPr>
          <w:sz w:val="28"/>
          <w:szCs w:val="28"/>
        </w:rPr>
        <w:t>АО «</w:t>
      </w:r>
      <w:proofErr w:type="spellStart"/>
      <w:r w:rsidR="009254A7" w:rsidRPr="009254A7">
        <w:rPr>
          <w:sz w:val="28"/>
          <w:szCs w:val="28"/>
        </w:rPr>
        <w:t>ЦНИИмаш</w:t>
      </w:r>
      <w:proofErr w:type="spellEnd"/>
      <w:r w:rsidR="009254A7" w:rsidRPr="009254A7">
        <w:rPr>
          <w:sz w:val="28"/>
          <w:szCs w:val="28"/>
        </w:rPr>
        <w:t>», Госкорпорация «Росатом», ПАО «Туполев»,  АО «КБП», АО «Концерн ВКО «Алмаз-Антей», АО «НПК «КБМ», ПАО «ОДК-УМПО», Группа «ТМХ», АО «Туполев», ПАО «Яковлев», АО «УКБТМ», ОКБ Сухого, НЦВ «Миль-Камов» и других</w:t>
      </w:r>
      <w:r w:rsidRPr="00574C74">
        <w:rPr>
          <w:sz w:val="28"/>
          <w:szCs w:val="28"/>
        </w:rPr>
        <w:t xml:space="preserve">. </w:t>
      </w:r>
    </w:p>
    <w:p w14:paraId="39A6DB78" w14:textId="11BE4867" w:rsidR="007D6EAF" w:rsidRPr="00574C74" w:rsidRDefault="00214F35" w:rsidP="007D6EAF">
      <w:pPr>
        <w:spacing w:line="360" w:lineRule="auto"/>
        <w:rPr>
          <w:sz w:val="28"/>
          <w:szCs w:val="28"/>
        </w:rPr>
      </w:pPr>
      <w:r w:rsidRPr="00214F35">
        <w:rPr>
          <w:sz w:val="28"/>
          <w:szCs w:val="28"/>
        </w:rPr>
        <w:t xml:space="preserve">Окончательная редакция проекта стандарта рассмотрена членами ТК 482 «Поддержка жизненного цикла продукции», в результате чего поступили </w:t>
      </w:r>
      <w:r w:rsidRPr="007D6EAF">
        <w:rPr>
          <w:sz w:val="28"/>
          <w:szCs w:val="28"/>
        </w:rPr>
        <w:t xml:space="preserve">замечания и предложения от </w:t>
      </w:r>
      <w:r w:rsidR="007D6EAF" w:rsidRPr="007D6EAF">
        <w:rPr>
          <w:sz w:val="28"/>
          <w:szCs w:val="28"/>
        </w:rPr>
        <w:t>27</w:t>
      </w:r>
      <w:r w:rsidRPr="007D6EAF">
        <w:rPr>
          <w:sz w:val="28"/>
          <w:szCs w:val="28"/>
        </w:rPr>
        <w:t xml:space="preserve"> организаций: </w:t>
      </w:r>
      <w:r w:rsidR="007D6EAF" w:rsidRPr="007D6EAF">
        <w:rPr>
          <w:sz w:val="28"/>
          <w:szCs w:val="28"/>
        </w:rPr>
        <w:t xml:space="preserve">АО </w:t>
      </w:r>
      <w:r w:rsidR="007D6EAF" w:rsidRPr="007D6EAF">
        <w:rPr>
          <w:sz w:val="28"/>
          <w:szCs w:val="28"/>
        </w:rPr>
        <w:t>«</w:t>
      </w:r>
      <w:proofErr w:type="spellStart"/>
      <w:r w:rsidR="007D6EAF" w:rsidRPr="007D6EAF">
        <w:rPr>
          <w:sz w:val="28"/>
          <w:szCs w:val="28"/>
        </w:rPr>
        <w:t>ЦНИИмаш</w:t>
      </w:r>
      <w:proofErr w:type="spellEnd"/>
      <w:r w:rsidR="007D6EAF" w:rsidRPr="007D6EAF">
        <w:rPr>
          <w:sz w:val="28"/>
          <w:szCs w:val="28"/>
        </w:rPr>
        <w:t>»</w:t>
      </w:r>
      <w:r w:rsidR="007D6EAF" w:rsidRPr="007D6EAF">
        <w:rPr>
          <w:sz w:val="28"/>
          <w:szCs w:val="28"/>
        </w:rPr>
        <w:t xml:space="preserve">, АО </w:t>
      </w:r>
      <w:r w:rsidR="007D6EAF">
        <w:rPr>
          <w:sz w:val="28"/>
          <w:szCs w:val="28"/>
        </w:rPr>
        <w:t>«</w:t>
      </w:r>
      <w:r w:rsidR="007D6EAF" w:rsidRPr="007D6EAF">
        <w:rPr>
          <w:sz w:val="28"/>
          <w:szCs w:val="28"/>
        </w:rPr>
        <w:t>ЦЭНКИ</w:t>
      </w:r>
      <w:r w:rsidR="007D6EAF">
        <w:rPr>
          <w:sz w:val="28"/>
          <w:szCs w:val="28"/>
        </w:rPr>
        <w:t>»</w:t>
      </w:r>
      <w:r w:rsidR="007D6EAF" w:rsidRPr="007D6EAF">
        <w:rPr>
          <w:sz w:val="28"/>
          <w:szCs w:val="28"/>
        </w:rPr>
        <w:t>, АО «ИЭМЗ «Купол», АО «КБП», АО «Концерн ВКО «Алмаз-Антей», АО «НИИЭП», АО «НПК «КБМ»,</w:t>
      </w:r>
      <w:r w:rsidR="007D6EAF">
        <w:rPr>
          <w:sz w:val="28"/>
          <w:szCs w:val="28"/>
        </w:rPr>
        <w:t xml:space="preserve"> </w:t>
      </w:r>
      <w:r w:rsidR="007D6EAF" w:rsidRPr="007D6EAF">
        <w:rPr>
          <w:sz w:val="28"/>
          <w:szCs w:val="28"/>
        </w:rPr>
        <w:t xml:space="preserve">АО «НПО «Высокоточные </w:t>
      </w:r>
      <w:r w:rsidR="007D6EAF" w:rsidRPr="007D6EAF">
        <w:rPr>
          <w:sz w:val="28"/>
          <w:szCs w:val="28"/>
        </w:rPr>
        <w:lastRenderedPageBreak/>
        <w:t>комплексы», АО «ОПК», АО «ОСК», ПАО «ОДК-УМПО», АО «Редуктор-ПМ», АО «Вертолеты России»</w:t>
      </w:r>
      <w:r w:rsidR="007D6EAF">
        <w:rPr>
          <w:sz w:val="28"/>
          <w:szCs w:val="28"/>
        </w:rPr>
        <w:t xml:space="preserve">, </w:t>
      </w:r>
      <w:r w:rsidR="007D6EAF" w:rsidRPr="007D6EAF">
        <w:rPr>
          <w:sz w:val="28"/>
          <w:szCs w:val="28"/>
        </w:rPr>
        <w:t>АО «ЦКБ МТ «Рубин», ГК «Росатом»,</w:t>
      </w:r>
      <w:r w:rsidR="007D6EAF">
        <w:rPr>
          <w:sz w:val="28"/>
          <w:szCs w:val="28"/>
        </w:rPr>
        <w:t xml:space="preserve"> </w:t>
      </w:r>
      <w:r w:rsidR="007D6EAF" w:rsidRPr="007D6EAF">
        <w:rPr>
          <w:sz w:val="28"/>
          <w:szCs w:val="28"/>
        </w:rPr>
        <w:t xml:space="preserve">ООО </w:t>
      </w:r>
      <w:r w:rsidR="007D6EAF">
        <w:rPr>
          <w:sz w:val="28"/>
          <w:szCs w:val="28"/>
        </w:rPr>
        <w:t>«</w:t>
      </w:r>
      <w:r w:rsidR="007D6EAF" w:rsidRPr="007D6EAF">
        <w:rPr>
          <w:sz w:val="28"/>
          <w:szCs w:val="28"/>
        </w:rPr>
        <w:t>КСК</w:t>
      </w:r>
      <w:r w:rsidR="007D6EAF">
        <w:rPr>
          <w:sz w:val="28"/>
          <w:szCs w:val="28"/>
        </w:rPr>
        <w:t>»</w:t>
      </w:r>
      <w:r w:rsidR="007D6EAF" w:rsidRPr="007D6EAF">
        <w:rPr>
          <w:sz w:val="28"/>
          <w:szCs w:val="28"/>
        </w:rPr>
        <w:t>, ПАО «ДНПП», ФГУП «ВНИИА», АО «Метровагонмаш»,</w:t>
      </w:r>
      <w:r w:rsidR="007D6EAF">
        <w:rPr>
          <w:sz w:val="28"/>
          <w:szCs w:val="28"/>
        </w:rPr>
        <w:t xml:space="preserve"> </w:t>
      </w:r>
      <w:r w:rsidR="007D6EAF" w:rsidRPr="007D6EAF">
        <w:rPr>
          <w:sz w:val="28"/>
          <w:szCs w:val="28"/>
        </w:rPr>
        <w:t>ОАО «ТВЗ»,</w:t>
      </w:r>
      <w:r w:rsidR="007D6EAF">
        <w:rPr>
          <w:sz w:val="28"/>
          <w:szCs w:val="28"/>
        </w:rPr>
        <w:t xml:space="preserve"> </w:t>
      </w:r>
      <w:r w:rsidR="007D6EAF" w:rsidRPr="007D6EAF">
        <w:rPr>
          <w:sz w:val="28"/>
          <w:szCs w:val="28"/>
        </w:rPr>
        <w:t>ООО «ИЦД ТМХ»,</w:t>
      </w:r>
      <w:r w:rsidR="007D6EAF">
        <w:rPr>
          <w:sz w:val="28"/>
          <w:szCs w:val="28"/>
        </w:rPr>
        <w:t xml:space="preserve"> </w:t>
      </w:r>
      <w:r w:rsidR="007D6EAF" w:rsidRPr="007D6EAF">
        <w:rPr>
          <w:sz w:val="28"/>
          <w:szCs w:val="28"/>
        </w:rPr>
        <w:t>ООО «ТМХ Инжиниринг»,</w:t>
      </w:r>
      <w:r w:rsidR="007D6EAF">
        <w:rPr>
          <w:sz w:val="28"/>
          <w:szCs w:val="28"/>
        </w:rPr>
        <w:t xml:space="preserve"> </w:t>
      </w:r>
      <w:r w:rsidR="007D6EAF" w:rsidRPr="007D6EAF">
        <w:rPr>
          <w:sz w:val="28"/>
          <w:szCs w:val="28"/>
        </w:rPr>
        <w:t>ООО «ТМХ-ПТР»</w:t>
      </w:r>
      <w:r w:rsidR="007D6EAF">
        <w:rPr>
          <w:sz w:val="28"/>
          <w:szCs w:val="28"/>
        </w:rPr>
        <w:t>, АО «ТМХ»</w:t>
      </w:r>
      <w:r w:rsidR="007D6EAF" w:rsidRPr="007D6EAF">
        <w:rPr>
          <w:sz w:val="28"/>
          <w:szCs w:val="28"/>
        </w:rPr>
        <w:t>,</w:t>
      </w:r>
      <w:r w:rsidR="007D6EAF">
        <w:rPr>
          <w:sz w:val="28"/>
          <w:szCs w:val="28"/>
        </w:rPr>
        <w:t xml:space="preserve"> </w:t>
      </w:r>
      <w:r w:rsidR="007D6EAF" w:rsidRPr="007D6EAF">
        <w:rPr>
          <w:sz w:val="28"/>
          <w:szCs w:val="28"/>
        </w:rPr>
        <w:t>ПАО «РКК «Энергия»,</w:t>
      </w:r>
      <w:r w:rsidR="007D6EAF">
        <w:rPr>
          <w:sz w:val="28"/>
          <w:szCs w:val="28"/>
        </w:rPr>
        <w:t xml:space="preserve"> </w:t>
      </w:r>
      <w:r w:rsidR="007D6EAF" w:rsidRPr="007D6EAF">
        <w:rPr>
          <w:sz w:val="28"/>
          <w:szCs w:val="28"/>
        </w:rPr>
        <w:t>ООО «УКБВ»</w:t>
      </w:r>
      <w:r w:rsidR="007D6EAF">
        <w:rPr>
          <w:sz w:val="28"/>
          <w:szCs w:val="28"/>
        </w:rPr>
        <w:t xml:space="preserve">, </w:t>
      </w:r>
      <w:r w:rsidR="007D6EAF" w:rsidRPr="007D6EAF">
        <w:rPr>
          <w:sz w:val="28"/>
          <w:szCs w:val="28"/>
        </w:rPr>
        <w:t>Союз «Объединение вагоностроителей»</w:t>
      </w:r>
      <w:r w:rsidR="007D6EAF">
        <w:rPr>
          <w:sz w:val="28"/>
          <w:szCs w:val="28"/>
        </w:rPr>
        <w:t xml:space="preserve">. </w:t>
      </w:r>
      <w:r w:rsidR="007D6EAF" w:rsidRPr="00574C74">
        <w:rPr>
          <w:sz w:val="28"/>
          <w:szCs w:val="28"/>
        </w:rPr>
        <w:t xml:space="preserve">В отзывах </w:t>
      </w:r>
      <w:r w:rsidR="007D6EAF">
        <w:rPr>
          <w:sz w:val="28"/>
          <w:szCs w:val="28"/>
        </w:rPr>
        <w:t>15</w:t>
      </w:r>
      <w:r w:rsidR="007D6EAF" w:rsidRPr="00574C74">
        <w:rPr>
          <w:sz w:val="28"/>
          <w:szCs w:val="28"/>
        </w:rPr>
        <w:t xml:space="preserve"> организации замечания и предложения отсутствуют.</w:t>
      </w:r>
    </w:p>
    <w:p w14:paraId="45A1F74C" w14:textId="2E8DA5E7" w:rsidR="007D6EAF" w:rsidRDefault="007D6EAF" w:rsidP="00214F35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>
        <w:rPr>
          <w:sz w:val="28"/>
          <w:szCs w:val="28"/>
        </w:rPr>
        <w:t>418</w:t>
      </w:r>
      <w:r w:rsidRPr="009254A7">
        <w:rPr>
          <w:sz w:val="28"/>
          <w:szCs w:val="28"/>
        </w:rPr>
        <w:t xml:space="preserve"> полученных замечаний: принято – </w:t>
      </w:r>
      <w:r>
        <w:rPr>
          <w:sz w:val="28"/>
          <w:szCs w:val="28"/>
        </w:rPr>
        <w:t>173</w:t>
      </w:r>
      <w:r w:rsidRPr="009254A7">
        <w:rPr>
          <w:sz w:val="28"/>
          <w:szCs w:val="28"/>
        </w:rPr>
        <w:t xml:space="preserve">, принято частично – </w:t>
      </w:r>
      <w:r>
        <w:rPr>
          <w:sz w:val="28"/>
          <w:szCs w:val="28"/>
        </w:rPr>
        <w:t>18</w:t>
      </w:r>
      <w:r w:rsidRPr="009254A7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9254A7">
        <w:rPr>
          <w:sz w:val="28"/>
          <w:szCs w:val="28"/>
        </w:rPr>
        <w:t xml:space="preserve">тклонено – </w:t>
      </w:r>
      <w:r>
        <w:rPr>
          <w:sz w:val="28"/>
          <w:szCs w:val="28"/>
        </w:rPr>
        <w:t>44</w:t>
      </w:r>
      <w:r>
        <w:rPr>
          <w:sz w:val="28"/>
          <w:szCs w:val="28"/>
        </w:rPr>
        <w:t xml:space="preserve"> </w:t>
      </w:r>
      <w:r w:rsidRPr="00574C74">
        <w:rPr>
          <w:sz w:val="28"/>
          <w:szCs w:val="28"/>
        </w:rPr>
        <w:t>(обоснования приведены в сводке отзывов)</w:t>
      </w:r>
      <w:r>
        <w:rPr>
          <w:sz w:val="28"/>
          <w:szCs w:val="28"/>
        </w:rPr>
        <w:t xml:space="preserve">, </w:t>
      </w:r>
      <w:r w:rsidRPr="009254A7">
        <w:rPr>
          <w:sz w:val="28"/>
          <w:szCs w:val="28"/>
        </w:rPr>
        <w:t xml:space="preserve">принято к сведению – </w:t>
      </w:r>
      <w:r>
        <w:rPr>
          <w:sz w:val="28"/>
          <w:szCs w:val="28"/>
        </w:rPr>
        <w:t>168</w:t>
      </w:r>
      <w:r w:rsidRPr="009254A7">
        <w:rPr>
          <w:sz w:val="28"/>
          <w:szCs w:val="28"/>
        </w:rPr>
        <w:t>.</w:t>
      </w:r>
    </w:p>
    <w:p w14:paraId="1859759F" w14:textId="77777777" w:rsidR="00883EF7" w:rsidRPr="00883EF7" w:rsidRDefault="00214F35" w:rsidP="00883EF7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 w:rsidR="00B33BFC">
        <w:rPr>
          <w:sz w:val="28"/>
          <w:szCs w:val="28"/>
        </w:rPr>
        <w:t xml:space="preserve"> прошла </w:t>
      </w:r>
      <w:r w:rsidR="00883EF7">
        <w:rPr>
          <w:sz w:val="28"/>
          <w:szCs w:val="28"/>
        </w:rPr>
        <w:t xml:space="preserve">процедуру голосования. </w:t>
      </w:r>
      <w:bookmarkStart w:id="1" w:name="_Hlk181951830"/>
      <w:r w:rsidR="00883EF7" w:rsidRPr="00F52456">
        <w:rPr>
          <w:sz w:val="28"/>
          <w:szCs w:val="28"/>
          <w:highlight w:val="yellow"/>
        </w:rPr>
        <w:t xml:space="preserve">В ходе голосования проект поддержало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 организации из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, голосов «против» </w:t>
      </w:r>
      <w:r w:rsidRPr="00F52456">
        <w:rPr>
          <w:sz w:val="28"/>
          <w:szCs w:val="28"/>
          <w:highlight w:val="yellow"/>
        </w:rPr>
        <w:t>нет</w:t>
      </w:r>
      <w:r w:rsidR="00883EF7" w:rsidRPr="00F52456">
        <w:rPr>
          <w:sz w:val="28"/>
          <w:szCs w:val="28"/>
          <w:highlight w:val="yellow"/>
        </w:rPr>
        <w:t xml:space="preserve">. От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 организаций-членов ТК ответы не поступили.</w:t>
      </w:r>
    </w:p>
    <w:bookmarkEnd w:id="1"/>
    <w:p w14:paraId="3B022323" w14:textId="2EFB214F" w:rsidR="001B285E" w:rsidRPr="008F36DF" w:rsidRDefault="00194F18" w:rsidP="0005449D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На основании статьи 24 Федерального закона от 29 июня 2015 г. № 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 w:rsidR="00684FE8"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 w:rsidR="00684FE8">
        <w:rPr>
          <w:sz w:val="28"/>
          <w:szCs w:val="28"/>
        </w:rPr>
        <w:t>«</w:t>
      </w:r>
      <w:r w:rsidR="00684FE8" w:rsidRPr="00684FE8">
        <w:rPr>
          <w:sz w:val="28"/>
          <w:szCs w:val="28"/>
        </w:rPr>
        <w:t>Поддержка жизненного цикла продукции</w:t>
      </w:r>
      <w:r w:rsidR="00684FE8">
        <w:rPr>
          <w:sz w:val="28"/>
          <w:szCs w:val="28"/>
        </w:rPr>
        <w:t>»</w:t>
      </w:r>
      <w:r w:rsidRPr="008F36DF">
        <w:rPr>
          <w:sz w:val="28"/>
          <w:szCs w:val="28"/>
        </w:rPr>
        <w:t xml:space="preserve"> считает возможным рекомендовать к утверждению проект </w:t>
      </w:r>
      <w:r w:rsidR="004F7442">
        <w:rPr>
          <w:sz w:val="28"/>
          <w:szCs w:val="28"/>
        </w:rPr>
        <w:t>ГОСТ Р</w:t>
      </w:r>
      <w:r w:rsidR="003D439A">
        <w:rPr>
          <w:sz w:val="28"/>
          <w:szCs w:val="28"/>
        </w:rPr>
        <w:t xml:space="preserve"> </w:t>
      </w:r>
      <w:r w:rsidR="003D439A" w:rsidRPr="003D439A">
        <w:rPr>
          <w:sz w:val="28"/>
          <w:szCs w:val="28"/>
        </w:rPr>
        <w:t xml:space="preserve">«Единая система конструкторской документации. </w:t>
      </w:r>
      <w:r w:rsidR="009254A7" w:rsidRPr="009254A7">
        <w:rPr>
          <w:sz w:val="28"/>
          <w:szCs w:val="28"/>
        </w:rPr>
        <w:t>Указание размеров и предельных отклонений</w:t>
      </w:r>
      <w:r w:rsidR="003D439A" w:rsidRPr="003D439A">
        <w:rPr>
          <w:sz w:val="28"/>
          <w:szCs w:val="28"/>
        </w:rPr>
        <w:t>»</w:t>
      </w:r>
      <w:r w:rsidR="00286639" w:rsidRPr="00BA1E82">
        <w:rPr>
          <w:color w:val="000000"/>
          <w:sz w:val="28"/>
          <w:szCs w:val="28"/>
        </w:rPr>
        <w:t xml:space="preserve">, </w:t>
      </w:r>
      <w:r w:rsidR="00286639" w:rsidRPr="008F36DF">
        <w:rPr>
          <w:sz w:val="28"/>
          <w:szCs w:val="28"/>
        </w:rPr>
        <w:t xml:space="preserve">разработанный </w:t>
      </w:r>
      <w:r w:rsidR="004F7442">
        <w:rPr>
          <w:sz w:val="28"/>
          <w:szCs w:val="28"/>
        </w:rPr>
        <w:t>А</w:t>
      </w:r>
      <w:r w:rsidR="00684FE8">
        <w:rPr>
          <w:color w:val="000000"/>
          <w:sz w:val="28"/>
          <w:szCs w:val="28"/>
        </w:rPr>
        <w:t>О НИЦ «Прикладная Логистика»</w:t>
      </w:r>
      <w:r w:rsidR="00F703EA" w:rsidRPr="008F36DF">
        <w:rPr>
          <w:color w:val="000000"/>
          <w:sz w:val="28"/>
          <w:szCs w:val="28"/>
        </w:rPr>
        <w:t xml:space="preserve"> </w:t>
      </w:r>
      <w:r w:rsidR="00286639" w:rsidRPr="008F36DF">
        <w:rPr>
          <w:sz w:val="28"/>
          <w:szCs w:val="28"/>
        </w:rPr>
        <w:t xml:space="preserve">в рамках </w:t>
      </w:r>
      <w:r w:rsidR="003D439A" w:rsidRPr="003D439A">
        <w:rPr>
          <w:sz w:val="28"/>
          <w:szCs w:val="28"/>
        </w:rPr>
        <w:t>Программы национальной стандартизации на 202</w:t>
      </w:r>
      <w:r w:rsidR="00F52456">
        <w:rPr>
          <w:sz w:val="28"/>
          <w:szCs w:val="28"/>
        </w:rPr>
        <w:t>3</w:t>
      </w:r>
      <w:r w:rsidR="003D439A" w:rsidRPr="003D439A">
        <w:rPr>
          <w:sz w:val="28"/>
          <w:szCs w:val="28"/>
        </w:rPr>
        <w:t xml:space="preserve"> г. (шифр темы 1.0.482-1.0</w:t>
      </w:r>
      <w:r w:rsidR="00F52456">
        <w:rPr>
          <w:sz w:val="28"/>
          <w:szCs w:val="28"/>
        </w:rPr>
        <w:t>6</w:t>
      </w:r>
      <w:r w:rsidR="009254A7">
        <w:rPr>
          <w:sz w:val="28"/>
          <w:szCs w:val="28"/>
        </w:rPr>
        <w:t>8</w:t>
      </w:r>
      <w:r w:rsidR="003D439A" w:rsidRPr="003D439A">
        <w:rPr>
          <w:sz w:val="28"/>
          <w:szCs w:val="28"/>
        </w:rPr>
        <w:t>.23)</w:t>
      </w:r>
      <w:r w:rsidR="00286639" w:rsidRPr="008F36DF">
        <w:rPr>
          <w:sz w:val="28"/>
          <w:szCs w:val="28"/>
        </w:rPr>
        <w:t>, в качестве национального стандарта Российской Федерации</w:t>
      </w:r>
      <w:r w:rsidRPr="008F36DF">
        <w:rPr>
          <w:sz w:val="28"/>
          <w:szCs w:val="28"/>
        </w:rPr>
        <w:t xml:space="preserve"> с датой введения в действие </w:t>
      </w:r>
      <w:r w:rsidR="00A30330">
        <w:rPr>
          <w:sz w:val="28"/>
          <w:szCs w:val="28"/>
        </w:rPr>
        <w:t>«</w:t>
      </w:r>
      <w:r w:rsidR="00214F35" w:rsidRPr="00F52456">
        <w:rPr>
          <w:sz w:val="28"/>
          <w:szCs w:val="28"/>
          <w:highlight w:val="yellow"/>
        </w:rPr>
        <w:t>01</w:t>
      </w:r>
      <w:r w:rsidR="00684FE8" w:rsidRPr="00F52456">
        <w:rPr>
          <w:sz w:val="28"/>
          <w:szCs w:val="28"/>
          <w:highlight w:val="yellow"/>
        </w:rPr>
        <w:t xml:space="preserve">» </w:t>
      </w:r>
      <w:r w:rsidR="00170AF3">
        <w:rPr>
          <w:sz w:val="28"/>
          <w:szCs w:val="28"/>
          <w:highlight w:val="yellow"/>
        </w:rPr>
        <w:t>октября</w:t>
      </w:r>
      <w:r w:rsidRPr="00F52456">
        <w:rPr>
          <w:sz w:val="28"/>
          <w:szCs w:val="28"/>
          <w:highlight w:val="yellow"/>
        </w:rPr>
        <w:t xml:space="preserve"> 202</w:t>
      </w:r>
      <w:r w:rsidR="009254A7">
        <w:rPr>
          <w:sz w:val="28"/>
          <w:szCs w:val="28"/>
          <w:highlight w:val="yellow"/>
        </w:rPr>
        <w:t>7</w:t>
      </w:r>
      <w:r w:rsidRPr="008F36DF">
        <w:rPr>
          <w:sz w:val="28"/>
          <w:szCs w:val="28"/>
        </w:rPr>
        <w:t xml:space="preserve"> г.</w:t>
      </w:r>
    </w:p>
    <w:p w14:paraId="25C38C85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59F28595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1A2834E4" w14:textId="0B226B4F" w:rsidR="00641FE4" w:rsidRPr="008F36DF" w:rsidRDefault="00CA75B1" w:rsidP="007D6EAF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>Поддержка жизненного 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sectPr w:rsidR="00641FE4" w:rsidRPr="008F36DF" w:rsidSect="008A6BE3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8A2C" w14:textId="77777777" w:rsidR="009614D8" w:rsidRDefault="009614D8" w:rsidP="00DF305D">
      <w:pPr>
        <w:spacing w:line="240" w:lineRule="auto"/>
      </w:pPr>
      <w:r>
        <w:separator/>
      </w:r>
    </w:p>
  </w:endnote>
  <w:endnote w:type="continuationSeparator" w:id="0">
    <w:p w14:paraId="0CDFC2D3" w14:textId="77777777" w:rsidR="009614D8" w:rsidRDefault="009614D8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5B63" w14:textId="77777777" w:rsidR="008A6BE3" w:rsidRDefault="008A6B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  <w:p w14:paraId="4B8ADECC" w14:textId="77777777" w:rsidR="008A6BE3" w:rsidRDefault="008A6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11ED" w14:textId="77777777" w:rsidR="008D61D2" w:rsidRDefault="008D61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  <w:p w14:paraId="2107AC35" w14:textId="77777777" w:rsidR="008D61D2" w:rsidRDefault="008D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9AB4" w14:textId="77777777" w:rsidR="009614D8" w:rsidRDefault="009614D8" w:rsidP="00DF305D">
      <w:pPr>
        <w:spacing w:line="240" w:lineRule="auto"/>
      </w:pPr>
      <w:r>
        <w:separator/>
      </w:r>
    </w:p>
  </w:footnote>
  <w:footnote w:type="continuationSeparator" w:id="0">
    <w:p w14:paraId="1325D392" w14:textId="77777777" w:rsidR="009614D8" w:rsidRDefault="009614D8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9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DDC"/>
    <w:rsid w:val="000320B9"/>
    <w:rsid w:val="00034DAB"/>
    <w:rsid w:val="000510FE"/>
    <w:rsid w:val="0005449D"/>
    <w:rsid w:val="00064DB0"/>
    <w:rsid w:val="000715C9"/>
    <w:rsid w:val="0008074C"/>
    <w:rsid w:val="000A6C72"/>
    <w:rsid w:val="000A7A31"/>
    <w:rsid w:val="000D3D86"/>
    <w:rsid w:val="000D4798"/>
    <w:rsid w:val="000E2131"/>
    <w:rsid w:val="00102B38"/>
    <w:rsid w:val="00123A78"/>
    <w:rsid w:val="001279C5"/>
    <w:rsid w:val="00127D3C"/>
    <w:rsid w:val="0014549F"/>
    <w:rsid w:val="0015605F"/>
    <w:rsid w:val="001576B1"/>
    <w:rsid w:val="00170135"/>
    <w:rsid w:val="00170AF3"/>
    <w:rsid w:val="00171857"/>
    <w:rsid w:val="001744FD"/>
    <w:rsid w:val="00177A61"/>
    <w:rsid w:val="00190124"/>
    <w:rsid w:val="001908E1"/>
    <w:rsid w:val="00194F18"/>
    <w:rsid w:val="001A6FFC"/>
    <w:rsid w:val="001B2296"/>
    <w:rsid w:val="001B285E"/>
    <w:rsid w:val="001B4AF1"/>
    <w:rsid w:val="001B6E3E"/>
    <w:rsid w:val="001E75CD"/>
    <w:rsid w:val="001E7F1C"/>
    <w:rsid w:val="001F0D2F"/>
    <w:rsid w:val="001F2E0C"/>
    <w:rsid w:val="001F3C9A"/>
    <w:rsid w:val="00207EEA"/>
    <w:rsid w:val="00214F35"/>
    <w:rsid w:val="002249D1"/>
    <w:rsid w:val="00225F0F"/>
    <w:rsid w:val="00230080"/>
    <w:rsid w:val="00241BAB"/>
    <w:rsid w:val="0024701F"/>
    <w:rsid w:val="00261444"/>
    <w:rsid w:val="00274FCA"/>
    <w:rsid w:val="00286639"/>
    <w:rsid w:val="002911D0"/>
    <w:rsid w:val="002A07CC"/>
    <w:rsid w:val="002A36C6"/>
    <w:rsid w:val="002A6399"/>
    <w:rsid w:val="002A7D1C"/>
    <w:rsid w:val="002C2DD2"/>
    <w:rsid w:val="002C6B2E"/>
    <w:rsid w:val="002D5F23"/>
    <w:rsid w:val="002F675D"/>
    <w:rsid w:val="003031D1"/>
    <w:rsid w:val="0035019E"/>
    <w:rsid w:val="0035106A"/>
    <w:rsid w:val="00361B11"/>
    <w:rsid w:val="003749F2"/>
    <w:rsid w:val="00381557"/>
    <w:rsid w:val="003841AF"/>
    <w:rsid w:val="0039349E"/>
    <w:rsid w:val="003A0C51"/>
    <w:rsid w:val="003C0EA3"/>
    <w:rsid w:val="003D439A"/>
    <w:rsid w:val="003E13BC"/>
    <w:rsid w:val="003F289D"/>
    <w:rsid w:val="004121F0"/>
    <w:rsid w:val="004133DA"/>
    <w:rsid w:val="004263F0"/>
    <w:rsid w:val="00427E60"/>
    <w:rsid w:val="004339F8"/>
    <w:rsid w:val="00447976"/>
    <w:rsid w:val="00451A75"/>
    <w:rsid w:val="00466B34"/>
    <w:rsid w:val="00470521"/>
    <w:rsid w:val="00473AC5"/>
    <w:rsid w:val="00492D9D"/>
    <w:rsid w:val="004A6B3A"/>
    <w:rsid w:val="004B340A"/>
    <w:rsid w:val="004C5630"/>
    <w:rsid w:val="004D67A7"/>
    <w:rsid w:val="004D72A2"/>
    <w:rsid w:val="004F0572"/>
    <w:rsid w:val="004F597E"/>
    <w:rsid w:val="004F7442"/>
    <w:rsid w:val="00501302"/>
    <w:rsid w:val="005030F1"/>
    <w:rsid w:val="00503410"/>
    <w:rsid w:val="00513BA4"/>
    <w:rsid w:val="005320A2"/>
    <w:rsid w:val="00536C94"/>
    <w:rsid w:val="00541DAB"/>
    <w:rsid w:val="0056258F"/>
    <w:rsid w:val="00574C74"/>
    <w:rsid w:val="005952FA"/>
    <w:rsid w:val="005B0662"/>
    <w:rsid w:val="005C12B9"/>
    <w:rsid w:val="00600D88"/>
    <w:rsid w:val="006303CF"/>
    <w:rsid w:val="006365EF"/>
    <w:rsid w:val="006369B2"/>
    <w:rsid w:val="00640C53"/>
    <w:rsid w:val="00641FE4"/>
    <w:rsid w:val="00646236"/>
    <w:rsid w:val="006525CE"/>
    <w:rsid w:val="00652BB3"/>
    <w:rsid w:val="006610C2"/>
    <w:rsid w:val="00681B60"/>
    <w:rsid w:val="00684FE8"/>
    <w:rsid w:val="00695877"/>
    <w:rsid w:val="0069623A"/>
    <w:rsid w:val="00697289"/>
    <w:rsid w:val="006B1DBE"/>
    <w:rsid w:val="006D309F"/>
    <w:rsid w:val="00733690"/>
    <w:rsid w:val="00734E59"/>
    <w:rsid w:val="00740130"/>
    <w:rsid w:val="00753346"/>
    <w:rsid w:val="00760255"/>
    <w:rsid w:val="007651F8"/>
    <w:rsid w:val="00766F39"/>
    <w:rsid w:val="0079147B"/>
    <w:rsid w:val="007A02FF"/>
    <w:rsid w:val="007A32FA"/>
    <w:rsid w:val="007B0211"/>
    <w:rsid w:val="007B0501"/>
    <w:rsid w:val="007B4445"/>
    <w:rsid w:val="007D6EAF"/>
    <w:rsid w:val="007E4A32"/>
    <w:rsid w:val="007E6B48"/>
    <w:rsid w:val="007F025E"/>
    <w:rsid w:val="00834792"/>
    <w:rsid w:val="008444D4"/>
    <w:rsid w:val="008448E2"/>
    <w:rsid w:val="00877F91"/>
    <w:rsid w:val="00881273"/>
    <w:rsid w:val="00883EF7"/>
    <w:rsid w:val="00885DEF"/>
    <w:rsid w:val="00891BE9"/>
    <w:rsid w:val="008A1D8D"/>
    <w:rsid w:val="008A6BE3"/>
    <w:rsid w:val="008C7421"/>
    <w:rsid w:val="008D4B00"/>
    <w:rsid w:val="008D61D2"/>
    <w:rsid w:val="008F021E"/>
    <w:rsid w:val="008F36DF"/>
    <w:rsid w:val="0090675C"/>
    <w:rsid w:val="00910641"/>
    <w:rsid w:val="00911A66"/>
    <w:rsid w:val="00913FC2"/>
    <w:rsid w:val="009254A7"/>
    <w:rsid w:val="00927F6F"/>
    <w:rsid w:val="00930567"/>
    <w:rsid w:val="009614D8"/>
    <w:rsid w:val="00986817"/>
    <w:rsid w:val="0099020A"/>
    <w:rsid w:val="00994CE7"/>
    <w:rsid w:val="009A3C24"/>
    <w:rsid w:val="009B4F39"/>
    <w:rsid w:val="009B53C4"/>
    <w:rsid w:val="009C01B2"/>
    <w:rsid w:val="009C3E8A"/>
    <w:rsid w:val="009D2D23"/>
    <w:rsid w:val="009D4F9E"/>
    <w:rsid w:val="00A07EE7"/>
    <w:rsid w:val="00A1104A"/>
    <w:rsid w:val="00A27711"/>
    <w:rsid w:val="00A30330"/>
    <w:rsid w:val="00A3095A"/>
    <w:rsid w:val="00AE5555"/>
    <w:rsid w:val="00B01E98"/>
    <w:rsid w:val="00B06960"/>
    <w:rsid w:val="00B1411A"/>
    <w:rsid w:val="00B14479"/>
    <w:rsid w:val="00B16DF8"/>
    <w:rsid w:val="00B30235"/>
    <w:rsid w:val="00B30EBD"/>
    <w:rsid w:val="00B31132"/>
    <w:rsid w:val="00B33BFC"/>
    <w:rsid w:val="00B4203F"/>
    <w:rsid w:val="00B50740"/>
    <w:rsid w:val="00B623C0"/>
    <w:rsid w:val="00B63EC7"/>
    <w:rsid w:val="00B80CAC"/>
    <w:rsid w:val="00B839E0"/>
    <w:rsid w:val="00B840F7"/>
    <w:rsid w:val="00B96491"/>
    <w:rsid w:val="00BA1E82"/>
    <w:rsid w:val="00BA362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32B"/>
    <w:rsid w:val="00C709BF"/>
    <w:rsid w:val="00C72CE1"/>
    <w:rsid w:val="00CA2D96"/>
    <w:rsid w:val="00CA75B1"/>
    <w:rsid w:val="00CA7FE8"/>
    <w:rsid w:val="00CB312B"/>
    <w:rsid w:val="00CC3E40"/>
    <w:rsid w:val="00CC3E97"/>
    <w:rsid w:val="00CC4453"/>
    <w:rsid w:val="00CD1A1E"/>
    <w:rsid w:val="00CD3B92"/>
    <w:rsid w:val="00CE0251"/>
    <w:rsid w:val="00CF6518"/>
    <w:rsid w:val="00D02994"/>
    <w:rsid w:val="00D222F5"/>
    <w:rsid w:val="00D303AE"/>
    <w:rsid w:val="00D30AC6"/>
    <w:rsid w:val="00D35B50"/>
    <w:rsid w:val="00D47543"/>
    <w:rsid w:val="00D50B1E"/>
    <w:rsid w:val="00D63382"/>
    <w:rsid w:val="00D66BC5"/>
    <w:rsid w:val="00D67BDA"/>
    <w:rsid w:val="00D7011A"/>
    <w:rsid w:val="00D70F8D"/>
    <w:rsid w:val="00D83BEC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F305D"/>
    <w:rsid w:val="00E149C8"/>
    <w:rsid w:val="00E1737F"/>
    <w:rsid w:val="00E82634"/>
    <w:rsid w:val="00E8435B"/>
    <w:rsid w:val="00E95023"/>
    <w:rsid w:val="00EB3A01"/>
    <w:rsid w:val="00ED51BA"/>
    <w:rsid w:val="00EE3C3E"/>
    <w:rsid w:val="00EE3CE7"/>
    <w:rsid w:val="00EE58D6"/>
    <w:rsid w:val="00EF2B2C"/>
    <w:rsid w:val="00EF3562"/>
    <w:rsid w:val="00F024B9"/>
    <w:rsid w:val="00F17527"/>
    <w:rsid w:val="00F31131"/>
    <w:rsid w:val="00F329B2"/>
    <w:rsid w:val="00F37BBC"/>
    <w:rsid w:val="00F46532"/>
    <w:rsid w:val="00F52456"/>
    <w:rsid w:val="00F615DE"/>
    <w:rsid w:val="00F703EA"/>
    <w:rsid w:val="00F71743"/>
    <w:rsid w:val="00F72DE0"/>
    <w:rsid w:val="00F852A1"/>
    <w:rsid w:val="00F91286"/>
    <w:rsid w:val="00F93E1A"/>
    <w:rsid w:val="00FA585C"/>
    <w:rsid w:val="00FB7917"/>
    <w:rsid w:val="00FD18ED"/>
    <w:rsid w:val="00FD1EF8"/>
    <w:rsid w:val="00FD3596"/>
    <w:rsid w:val="00FD6C10"/>
    <w:rsid w:val="00FE360C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8D477"/>
  <w15:docId w15:val="{41A6A664-E02A-43BC-9541-978739B0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EAF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f">
    <w:name w:val="ГОСТ Р текст без уровня"/>
    <w:basedOn w:val="a"/>
    <w:link w:val="af0"/>
    <w:qFormat/>
    <w:rsid w:val="00C7032B"/>
    <w:pPr>
      <w:suppressAutoHyphens/>
      <w:spacing w:line="360" w:lineRule="auto"/>
    </w:pPr>
    <w:rPr>
      <w:rFonts w:ascii="Arial" w:eastAsiaTheme="majorEastAsia" w:hAnsi="Arial" w:cstheme="majorBidi"/>
      <w:color w:val="000000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1">
    <w:name w:val="ГОСТ текст примечаний и приложений"/>
    <w:basedOn w:val="af"/>
    <w:link w:val="af2"/>
    <w:qFormat/>
    <w:rsid w:val="00C7032B"/>
  </w:style>
  <w:style w:type="character" w:customStyle="1" w:styleId="af0">
    <w:name w:val="ГОСТ Р текст без уровня Знак"/>
    <w:basedOn w:val="a0"/>
    <w:link w:val="af"/>
    <w:rsid w:val="00C7032B"/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2">
    <w:name w:val="ГОСТ текст примечаний и приложений Знак"/>
    <w:basedOn w:val="af0"/>
    <w:link w:val="af1"/>
    <w:rsid w:val="00C7032B"/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f3">
    <w:name w:val="Normal (Web)"/>
    <w:basedOn w:val="a"/>
    <w:uiPriority w:val="99"/>
    <w:unhideWhenUsed/>
    <w:rsid w:val="00C7032B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markdown-word">
    <w:name w:val="markdown-word"/>
    <w:basedOn w:val="a0"/>
    <w:rsid w:val="00C7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Ольга</cp:lastModifiedBy>
  <cp:revision>5</cp:revision>
  <cp:lastPrinted>2023-09-18T13:42:00Z</cp:lastPrinted>
  <dcterms:created xsi:type="dcterms:W3CDTF">2026-07-05T14:34:00Z</dcterms:created>
  <dcterms:modified xsi:type="dcterms:W3CDTF">2026-07-05T17:51:00Z</dcterms:modified>
</cp:coreProperties>
</file>