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7" w:type="dxa"/>
        <w:tblBorders>
          <w:bottom w:val="single" w:sz="12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FD3596" w:rsidRPr="00B079A1" w14:paraId="4806A8B7" w14:textId="77777777" w:rsidTr="00123A78">
        <w:tc>
          <w:tcPr>
            <w:tcW w:w="974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692CEB6" w14:textId="77777777" w:rsidR="00FD3596" w:rsidRPr="00646236" w:rsidRDefault="00FD3596" w:rsidP="00646236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eastAsia="Calibri"/>
                <w:caps/>
                <w:sz w:val="31"/>
                <w:szCs w:val="31"/>
              </w:rPr>
            </w:pPr>
            <w:r w:rsidRPr="00646236">
              <w:rPr>
                <w:rFonts w:eastAsia="Calibri"/>
                <w:caps/>
                <w:sz w:val="31"/>
                <w:szCs w:val="31"/>
              </w:rPr>
              <w:t>Федеральное агентство</w:t>
            </w:r>
          </w:p>
          <w:p w14:paraId="6910E3F9" w14:textId="77777777" w:rsidR="00FD3596" w:rsidRPr="00646236" w:rsidRDefault="00FD3596" w:rsidP="00646236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eastAsia="Calibri"/>
                <w:caps/>
                <w:sz w:val="31"/>
                <w:szCs w:val="31"/>
              </w:rPr>
            </w:pPr>
            <w:r w:rsidRPr="00B079A1">
              <w:rPr>
                <w:rFonts w:eastAsia="Calibri"/>
                <w:caps/>
                <w:sz w:val="31"/>
                <w:szCs w:val="31"/>
              </w:rPr>
              <w:t>по техническому регулированию и метрологии</w:t>
            </w:r>
          </w:p>
        </w:tc>
      </w:tr>
      <w:tr w:rsidR="00FD3596" w:rsidRPr="00B079A1" w14:paraId="410D40B9" w14:textId="77777777" w:rsidTr="00123A78">
        <w:tc>
          <w:tcPr>
            <w:tcW w:w="9747" w:type="dxa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4283457A" w14:textId="77777777" w:rsidR="00FD3596" w:rsidRPr="00B079A1" w:rsidRDefault="00FD3596" w:rsidP="00123A78">
            <w:pPr>
              <w:tabs>
                <w:tab w:val="center" w:pos="4677"/>
                <w:tab w:val="right" w:pos="9355"/>
              </w:tabs>
              <w:spacing w:before="240" w:line="240" w:lineRule="auto"/>
              <w:jc w:val="center"/>
              <w:rPr>
                <w:rFonts w:eastAsia="Calibri"/>
                <w:b/>
                <w:spacing w:val="20"/>
                <w:sz w:val="30"/>
                <w:szCs w:val="30"/>
              </w:rPr>
            </w:pPr>
            <w:r w:rsidRPr="00B079A1">
              <w:rPr>
                <w:rFonts w:eastAsia="Calibri"/>
                <w:b/>
                <w:spacing w:val="20"/>
                <w:sz w:val="32"/>
                <w:szCs w:val="32"/>
              </w:rPr>
              <w:t>ТК 482 «Поддержка</w:t>
            </w:r>
            <w:r w:rsidRPr="00B079A1">
              <w:rPr>
                <w:rFonts w:eastAsia="Calibri"/>
                <w:b/>
                <w:spacing w:val="20"/>
                <w:sz w:val="30"/>
                <w:szCs w:val="30"/>
              </w:rPr>
              <w:t xml:space="preserve"> </w:t>
            </w:r>
            <w:r w:rsidRPr="00F64FD5">
              <w:rPr>
                <w:rFonts w:eastAsia="Calibri"/>
                <w:b/>
                <w:spacing w:val="20"/>
                <w:sz w:val="32"/>
                <w:szCs w:val="32"/>
              </w:rPr>
              <w:t>жизненного цикла продукции</w:t>
            </w:r>
            <w:r w:rsidRPr="00B079A1">
              <w:rPr>
                <w:rFonts w:eastAsia="Calibri"/>
                <w:b/>
                <w:spacing w:val="20"/>
                <w:sz w:val="30"/>
                <w:szCs w:val="30"/>
              </w:rPr>
              <w:t>»</w:t>
            </w:r>
          </w:p>
        </w:tc>
      </w:tr>
      <w:tr w:rsidR="00FD3596" w:rsidRPr="00B079A1" w14:paraId="0D08D7F6" w14:textId="77777777" w:rsidTr="00123A78">
        <w:trPr>
          <w:trHeight w:val="573"/>
        </w:trPr>
        <w:tc>
          <w:tcPr>
            <w:tcW w:w="9747" w:type="dxa"/>
            <w:tcBorders>
              <w:top w:val="nil"/>
            </w:tcBorders>
            <w:shd w:val="clear" w:color="auto" w:fill="auto"/>
            <w:vAlign w:val="center"/>
          </w:tcPr>
          <w:p w14:paraId="3478C629" w14:textId="77777777" w:rsidR="00FD3596" w:rsidRPr="00B079A1" w:rsidRDefault="00FD3596" w:rsidP="00123A78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eastAsia="Calibri"/>
                <w:sz w:val="16"/>
                <w:szCs w:val="16"/>
              </w:rPr>
            </w:pPr>
          </w:p>
          <w:p w14:paraId="1856DB47" w14:textId="77777777" w:rsidR="00FD3596" w:rsidRPr="00B079A1" w:rsidRDefault="00FD3596" w:rsidP="00123A78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eastAsia="Calibri"/>
                <w:sz w:val="26"/>
                <w:szCs w:val="26"/>
              </w:rPr>
            </w:pPr>
            <w:r w:rsidRPr="00B079A1">
              <w:rPr>
                <w:rFonts w:eastAsia="Calibri"/>
                <w:sz w:val="26"/>
                <w:szCs w:val="26"/>
              </w:rPr>
              <w:t>117418, Москва, Нахимовский проспект, д. 31, корп. 2</w:t>
            </w:r>
          </w:p>
          <w:p w14:paraId="5726F81A" w14:textId="77777777" w:rsidR="00FD3596" w:rsidRPr="00B079A1" w:rsidRDefault="00FD3596" w:rsidP="00123A78">
            <w:pPr>
              <w:tabs>
                <w:tab w:val="center" w:pos="4677"/>
                <w:tab w:val="right" w:pos="9355"/>
              </w:tabs>
              <w:spacing w:after="240" w:line="240" w:lineRule="auto"/>
              <w:jc w:val="center"/>
              <w:rPr>
                <w:rFonts w:eastAsia="Calibri"/>
                <w:sz w:val="26"/>
                <w:szCs w:val="26"/>
              </w:rPr>
            </w:pPr>
            <w:r w:rsidRPr="00B079A1">
              <w:rPr>
                <w:rFonts w:eastAsia="Calibri"/>
                <w:sz w:val="26"/>
                <w:szCs w:val="26"/>
              </w:rPr>
              <w:t>Тел: +7 (495) 531-26-44</w:t>
            </w:r>
          </w:p>
        </w:tc>
      </w:tr>
    </w:tbl>
    <w:p w14:paraId="2751BC07" w14:textId="77777777" w:rsidR="000D3D86" w:rsidRDefault="000D3D86" w:rsidP="00194F18">
      <w:pPr>
        <w:spacing w:line="360" w:lineRule="auto"/>
        <w:ind w:firstLine="0"/>
        <w:jc w:val="center"/>
        <w:rPr>
          <w:rFonts w:ascii="Arial" w:hAnsi="Arial" w:cs="Arial"/>
          <w:b/>
        </w:rPr>
      </w:pPr>
    </w:p>
    <w:p w14:paraId="05A73336" w14:textId="77777777" w:rsidR="000D3D86" w:rsidRDefault="000D3D86" w:rsidP="00194F18">
      <w:pPr>
        <w:spacing w:line="360" w:lineRule="auto"/>
        <w:ind w:firstLine="0"/>
        <w:jc w:val="center"/>
        <w:rPr>
          <w:rFonts w:ascii="Arial" w:hAnsi="Arial" w:cs="Arial"/>
          <w:b/>
        </w:rPr>
      </w:pPr>
    </w:p>
    <w:p w14:paraId="7A6449D9" w14:textId="77777777" w:rsidR="00194F18" w:rsidRPr="008F36DF" w:rsidRDefault="00194F18" w:rsidP="00034DAB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8F36DF">
        <w:rPr>
          <w:b/>
          <w:sz w:val="28"/>
          <w:szCs w:val="28"/>
        </w:rPr>
        <w:t>ЭКСПЕРТНОЕ ЗАКЛЮЧЕНИЕ</w:t>
      </w:r>
    </w:p>
    <w:p w14:paraId="7472029D" w14:textId="77777777" w:rsidR="00261444" w:rsidRDefault="00FF4361" w:rsidP="00034DAB">
      <w:pPr>
        <w:tabs>
          <w:tab w:val="left" w:pos="360"/>
        </w:tabs>
        <w:spacing w:line="240" w:lineRule="auto"/>
        <w:ind w:right="-340" w:firstLine="0"/>
        <w:jc w:val="center"/>
        <w:rPr>
          <w:b/>
          <w:sz w:val="28"/>
          <w:szCs w:val="28"/>
        </w:rPr>
      </w:pPr>
      <w:r w:rsidRPr="008F36DF">
        <w:rPr>
          <w:b/>
          <w:sz w:val="28"/>
          <w:szCs w:val="28"/>
        </w:rPr>
        <w:t>на проект национального стандарта ГОСТ Р</w:t>
      </w:r>
    </w:p>
    <w:p w14:paraId="54DB39BE" w14:textId="77777777" w:rsidR="00034DAB" w:rsidRPr="000B07B3" w:rsidRDefault="00034DAB" w:rsidP="00034DAB">
      <w:pPr>
        <w:tabs>
          <w:tab w:val="left" w:pos="360"/>
        </w:tabs>
        <w:spacing w:line="240" w:lineRule="auto"/>
        <w:ind w:right="-340" w:firstLine="0"/>
        <w:jc w:val="center"/>
        <w:rPr>
          <w:b/>
          <w:sz w:val="28"/>
          <w:szCs w:val="28"/>
        </w:rPr>
      </w:pPr>
      <w:r w:rsidRPr="000B07B3">
        <w:rPr>
          <w:b/>
          <w:sz w:val="28"/>
          <w:szCs w:val="28"/>
        </w:rPr>
        <w:t xml:space="preserve">«Единая система конструкторской документации. </w:t>
      </w:r>
      <w:r w:rsidR="00085BCB">
        <w:rPr>
          <w:b/>
          <w:sz w:val="28"/>
          <w:szCs w:val="28"/>
        </w:rPr>
        <w:t>Нормоконтроль</w:t>
      </w:r>
      <w:r w:rsidRPr="000B07B3">
        <w:rPr>
          <w:b/>
          <w:sz w:val="28"/>
          <w:szCs w:val="28"/>
        </w:rPr>
        <w:t>»</w:t>
      </w:r>
      <w:r w:rsidRPr="000B07B3">
        <w:rPr>
          <w:b/>
          <w:sz w:val="28"/>
          <w:szCs w:val="28"/>
          <w:highlight w:val="yellow"/>
        </w:rPr>
        <w:t xml:space="preserve"> </w:t>
      </w:r>
    </w:p>
    <w:p w14:paraId="79431FD6" w14:textId="77777777" w:rsidR="00EE58D6" w:rsidRDefault="00EE58D6" w:rsidP="00261444">
      <w:pPr>
        <w:tabs>
          <w:tab w:val="left" w:pos="360"/>
        </w:tabs>
        <w:spacing w:after="120"/>
        <w:ind w:right="-340" w:firstLine="0"/>
        <w:jc w:val="center"/>
        <w:rPr>
          <w:b/>
          <w:sz w:val="28"/>
          <w:szCs w:val="28"/>
        </w:rPr>
      </w:pPr>
    </w:p>
    <w:p w14:paraId="1F295193" w14:textId="77777777" w:rsidR="00194F18" w:rsidRPr="008F36DF" w:rsidRDefault="00194F18" w:rsidP="00194F18">
      <w:pPr>
        <w:spacing w:line="360" w:lineRule="auto"/>
        <w:ind w:firstLine="0"/>
        <w:rPr>
          <w:sz w:val="28"/>
          <w:szCs w:val="28"/>
        </w:rPr>
      </w:pPr>
      <w:r w:rsidRPr="00541DAB">
        <w:rPr>
          <w:sz w:val="28"/>
          <w:szCs w:val="28"/>
        </w:rPr>
        <w:t xml:space="preserve">г. Москва                                                          </w:t>
      </w:r>
      <w:r w:rsidR="008F36DF" w:rsidRPr="00541DAB">
        <w:rPr>
          <w:sz w:val="28"/>
          <w:szCs w:val="28"/>
        </w:rPr>
        <w:t xml:space="preserve">                 </w:t>
      </w:r>
      <w:r w:rsidR="00085BCB">
        <w:rPr>
          <w:sz w:val="28"/>
          <w:szCs w:val="28"/>
        </w:rPr>
        <w:t xml:space="preserve">                </w:t>
      </w:r>
      <w:r w:rsidR="008F36DF" w:rsidRPr="00541DAB">
        <w:rPr>
          <w:sz w:val="28"/>
          <w:szCs w:val="28"/>
        </w:rPr>
        <w:t xml:space="preserve">      </w:t>
      </w:r>
      <w:r w:rsidR="00DA1E5B" w:rsidRPr="00541DAB">
        <w:rPr>
          <w:sz w:val="28"/>
          <w:szCs w:val="28"/>
        </w:rPr>
        <w:t xml:space="preserve"> </w:t>
      </w:r>
      <w:r w:rsidR="00286639" w:rsidRPr="00541DAB">
        <w:rPr>
          <w:sz w:val="28"/>
          <w:szCs w:val="28"/>
        </w:rPr>
        <w:t xml:space="preserve"> </w:t>
      </w:r>
      <w:r w:rsidRPr="00541DAB">
        <w:rPr>
          <w:sz w:val="28"/>
          <w:szCs w:val="28"/>
        </w:rPr>
        <w:t xml:space="preserve"> </w:t>
      </w:r>
      <w:r w:rsidR="00085BCB">
        <w:rPr>
          <w:sz w:val="28"/>
          <w:szCs w:val="28"/>
        </w:rPr>
        <w:t>(проект)</w:t>
      </w:r>
    </w:p>
    <w:p w14:paraId="0F2B3F8F" w14:textId="77777777" w:rsidR="00194F18" w:rsidRPr="008F36DF" w:rsidRDefault="00194F18" w:rsidP="00194F18">
      <w:pPr>
        <w:spacing w:line="360" w:lineRule="auto"/>
        <w:ind w:firstLine="0"/>
        <w:rPr>
          <w:sz w:val="28"/>
          <w:szCs w:val="28"/>
        </w:rPr>
      </w:pPr>
    </w:p>
    <w:p w14:paraId="09320B8C" w14:textId="77777777" w:rsidR="00085BCB" w:rsidRDefault="00FF4361" w:rsidP="00085BCB">
      <w:pPr>
        <w:spacing w:line="360" w:lineRule="auto"/>
        <w:ind w:firstLine="708"/>
        <w:rPr>
          <w:rFonts w:eastAsia="Calibri"/>
          <w:sz w:val="28"/>
          <w:szCs w:val="28"/>
        </w:rPr>
      </w:pPr>
      <w:r w:rsidRPr="00BA1E82">
        <w:rPr>
          <w:color w:val="000000"/>
          <w:spacing w:val="-1"/>
          <w:sz w:val="28"/>
          <w:szCs w:val="28"/>
        </w:rPr>
        <w:t xml:space="preserve">Проект национального стандарта </w:t>
      </w:r>
      <w:r w:rsidRPr="008F36DF">
        <w:rPr>
          <w:sz w:val="28"/>
          <w:szCs w:val="28"/>
        </w:rPr>
        <w:t xml:space="preserve">ГОСТ Р </w:t>
      </w:r>
      <w:r w:rsidR="00034DAB" w:rsidRPr="00034DAB">
        <w:rPr>
          <w:sz w:val="28"/>
          <w:szCs w:val="28"/>
        </w:rPr>
        <w:t xml:space="preserve">«Единая система конструкторской документации. </w:t>
      </w:r>
      <w:r w:rsidR="00085BCB">
        <w:rPr>
          <w:sz w:val="28"/>
          <w:szCs w:val="28"/>
        </w:rPr>
        <w:t>Нормоконтроль</w:t>
      </w:r>
      <w:r w:rsidR="00034DAB" w:rsidRPr="00034DAB">
        <w:rPr>
          <w:sz w:val="28"/>
          <w:szCs w:val="28"/>
        </w:rPr>
        <w:t xml:space="preserve">» </w:t>
      </w:r>
      <w:r w:rsidR="00EE58D6" w:rsidRPr="00EE58D6">
        <w:rPr>
          <w:sz w:val="28"/>
          <w:szCs w:val="28"/>
        </w:rPr>
        <w:t xml:space="preserve"> </w:t>
      </w:r>
      <w:r w:rsidRPr="00A30330">
        <w:rPr>
          <w:sz w:val="28"/>
          <w:szCs w:val="28"/>
        </w:rPr>
        <w:t>(далее – проект стандарта)</w:t>
      </w:r>
      <w:r w:rsidRPr="00A30330">
        <w:rPr>
          <w:spacing w:val="-1"/>
          <w:sz w:val="28"/>
          <w:szCs w:val="28"/>
        </w:rPr>
        <w:t xml:space="preserve"> </w:t>
      </w:r>
      <w:r w:rsidRPr="00A30330">
        <w:rPr>
          <w:sz w:val="28"/>
          <w:szCs w:val="28"/>
        </w:rPr>
        <w:t xml:space="preserve">разработан Акционерным обществом «Научно-исследовательский центр «Прикладная </w:t>
      </w:r>
      <w:r w:rsidR="00085BCB">
        <w:rPr>
          <w:sz w:val="28"/>
          <w:szCs w:val="28"/>
        </w:rPr>
        <w:t>л</w:t>
      </w:r>
      <w:r w:rsidRPr="00A30330">
        <w:rPr>
          <w:sz w:val="28"/>
          <w:szCs w:val="28"/>
        </w:rPr>
        <w:t xml:space="preserve">огистика» (АО НИЦ «Прикладная </w:t>
      </w:r>
      <w:r w:rsidR="00085BCB">
        <w:rPr>
          <w:sz w:val="28"/>
          <w:szCs w:val="28"/>
        </w:rPr>
        <w:t>л</w:t>
      </w:r>
      <w:r w:rsidRPr="00A30330">
        <w:rPr>
          <w:sz w:val="28"/>
          <w:szCs w:val="28"/>
        </w:rPr>
        <w:t>огистика»)</w:t>
      </w:r>
      <w:r w:rsidR="00910641" w:rsidRPr="00A30330">
        <w:rPr>
          <w:sz w:val="28"/>
          <w:szCs w:val="28"/>
        </w:rPr>
        <w:t xml:space="preserve"> </w:t>
      </w:r>
      <w:r w:rsidRPr="00A30330">
        <w:rPr>
          <w:sz w:val="28"/>
          <w:szCs w:val="28"/>
        </w:rPr>
        <w:t>в рамках деятельности ТК 482 «</w:t>
      </w:r>
      <w:r w:rsidRPr="00A30330">
        <w:rPr>
          <w:rFonts w:eastAsia="Calibri"/>
          <w:sz w:val="28"/>
          <w:szCs w:val="28"/>
        </w:rPr>
        <w:t>Поддержка жизненного цикла продукции</w:t>
      </w:r>
      <w:r w:rsidR="00034DAB">
        <w:rPr>
          <w:rFonts w:eastAsia="Calibri"/>
          <w:sz w:val="28"/>
          <w:szCs w:val="28"/>
        </w:rPr>
        <w:t>»</w:t>
      </w:r>
      <w:r w:rsidR="00034DAB" w:rsidRPr="00034DAB">
        <w:rPr>
          <w:rFonts w:eastAsia="Calibri"/>
          <w:sz w:val="28"/>
          <w:szCs w:val="28"/>
        </w:rPr>
        <w:t xml:space="preserve"> на основании Программы национальной стандартизации на </w:t>
      </w:r>
      <w:r w:rsidR="00085BCB">
        <w:rPr>
          <w:rFonts w:eastAsia="Calibri"/>
          <w:sz w:val="28"/>
          <w:szCs w:val="28"/>
        </w:rPr>
        <w:t xml:space="preserve">2023 – </w:t>
      </w:r>
      <w:r w:rsidR="00034DAB" w:rsidRPr="00034DAB">
        <w:rPr>
          <w:rFonts w:eastAsia="Calibri"/>
          <w:sz w:val="28"/>
          <w:szCs w:val="28"/>
        </w:rPr>
        <w:t>202</w:t>
      </w:r>
      <w:r w:rsidR="00085BCB">
        <w:rPr>
          <w:rFonts w:eastAsia="Calibri"/>
          <w:sz w:val="28"/>
          <w:szCs w:val="28"/>
        </w:rPr>
        <w:t>6</w:t>
      </w:r>
      <w:r w:rsidR="00034DAB" w:rsidRPr="00034DAB">
        <w:rPr>
          <w:rFonts w:eastAsia="Calibri"/>
          <w:sz w:val="28"/>
          <w:szCs w:val="28"/>
        </w:rPr>
        <w:t xml:space="preserve"> г</w:t>
      </w:r>
      <w:r w:rsidR="00085BCB">
        <w:rPr>
          <w:rFonts w:eastAsia="Calibri"/>
          <w:sz w:val="28"/>
          <w:szCs w:val="28"/>
        </w:rPr>
        <w:t>г</w:t>
      </w:r>
      <w:r w:rsidR="00034DAB" w:rsidRPr="00034DAB">
        <w:rPr>
          <w:rFonts w:eastAsia="Calibri"/>
          <w:sz w:val="28"/>
          <w:szCs w:val="28"/>
        </w:rPr>
        <w:t xml:space="preserve">. (шифр темы </w:t>
      </w:r>
      <w:r w:rsidR="00085BCB" w:rsidRPr="00085BCB">
        <w:rPr>
          <w:rFonts w:eastAsia="Calibri"/>
          <w:sz w:val="28"/>
          <w:szCs w:val="28"/>
        </w:rPr>
        <w:t xml:space="preserve"> 1.0.482-1.070.23</w:t>
      </w:r>
      <w:r w:rsidR="00034DAB" w:rsidRPr="00034DAB">
        <w:rPr>
          <w:rFonts w:eastAsia="Calibri"/>
          <w:sz w:val="28"/>
          <w:szCs w:val="28"/>
        </w:rPr>
        <w:t xml:space="preserve">) </w:t>
      </w:r>
      <w:bookmarkStart w:id="0" w:name="_Hlk224721032"/>
      <w:r w:rsidR="00085BCB" w:rsidRPr="00097096">
        <w:rPr>
          <w:sz w:val="28"/>
          <w:szCs w:val="28"/>
        </w:rPr>
        <w:t>и договора 25209.442019.06.002/ЦСИСОП/09дсп от 2 сентября 2025 (идентификатор государственного контракта 1770559633925Z000511).</w:t>
      </w:r>
      <w:bookmarkEnd w:id="0"/>
    </w:p>
    <w:p w14:paraId="5FF1AEFB" w14:textId="77777777" w:rsidR="00194F18" w:rsidRPr="008F36DF" w:rsidRDefault="00194F18" w:rsidP="00194F18">
      <w:pPr>
        <w:spacing w:line="360" w:lineRule="auto"/>
        <w:ind w:firstLine="708"/>
        <w:rPr>
          <w:sz w:val="28"/>
          <w:szCs w:val="28"/>
        </w:rPr>
      </w:pPr>
      <w:r w:rsidRPr="008F36DF">
        <w:rPr>
          <w:sz w:val="28"/>
          <w:szCs w:val="28"/>
        </w:rPr>
        <w:t>Экспертиза проекта стандарта проведена в соответствии с ГОСТ Р</w:t>
      </w:r>
      <w:r w:rsidR="00927F6F">
        <w:rPr>
          <w:sz w:val="28"/>
          <w:szCs w:val="28"/>
        </w:rPr>
        <w:t xml:space="preserve"> 1.6‒2013 «Стандартизация в Российской Ф</w:t>
      </w:r>
      <w:r w:rsidRPr="008F36DF">
        <w:rPr>
          <w:sz w:val="28"/>
          <w:szCs w:val="28"/>
        </w:rPr>
        <w:t>едерации. Проекты стандартов. Правила организации и проведения экспертизы».</w:t>
      </w:r>
    </w:p>
    <w:p w14:paraId="55D2CB11" w14:textId="77777777" w:rsidR="00194F18" w:rsidRPr="008F36DF" w:rsidRDefault="00194F18" w:rsidP="00194F18">
      <w:pPr>
        <w:spacing w:line="360" w:lineRule="auto"/>
        <w:ind w:firstLine="708"/>
        <w:rPr>
          <w:sz w:val="28"/>
          <w:szCs w:val="28"/>
        </w:rPr>
      </w:pPr>
      <w:r w:rsidRPr="008F36DF">
        <w:rPr>
          <w:sz w:val="28"/>
          <w:szCs w:val="28"/>
        </w:rPr>
        <w:t>В отношении проекта стандарта выполнена экспертиза, включая:</w:t>
      </w:r>
    </w:p>
    <w:p w14:paraId="12C53CFF" w14:textId="77777777" w:rsidR="00286639" w:rsidRPr="008F36DF" w:rsidRDefault="00194F18" w:rsidP="00286639">
      <w:pPr>
        <w:pStyle w:val="a3"/>
        <w:numPr>
          <w:ilvl w:val="0"/>
          <w:numId w:val="19"/>
        </w:numPr>
        <w:spacing w:line="360" w:lineRule="auto"/>
        <w:rPr>
          <w:sz w:val="28"/>
          <w:szCs w:val="28"/>
        </w:rPr>
      </w:pPr>
      <w:r w:rsidRPr="008F36DF">
        <w:rPr>
          <w:sz w:val="28"/>
          <w:szCs w:val="28"/>
        </w:rPr>
        <w:t>оценку соответствия проекта стандарта целям и задачам, установленным в статье 3 Федерального закона «О стандартизации в</w:t>
      </w:r>
      <w:r w:rsidR="00FF4361" w:rsidRPr="008F36DF">
        <w:rPr>
          <w:sz w:val="28"/>
          <w:szCs w:val="28"/>
        </w:rPr>
        <w:t xml:space="preserve"> Российской Федерации» от 29 июня </w:t>
      </w:r>
      <w:r w:rsidRPr="008F36DF">
        <w:rPr>
          <w:sz w:val="28"/>
          <w:szCs w:val="28"/>
        </w:rPr>
        <w:t>2015</w:t>
      </w:r>
      <w:r w:rsidR="00FF4361" w:rsidRPr="008F36DF">
        <w:rPr>
          <w:sz w:val="28"/>
          <w:szCs w:val="28"/>
        </w:rPr>
        <w:t xml:space="preserve"> г.</w:t>
      </w:r>
      <w:r w:rsidRPr="008F36DF">
        <w:rPr>
          <w:sz w:val="28"/>
          <w:szCs w:val="28"/>
        </w:rPr>
        <w:t xml:space="preserve"> № 162-ФЗ;</w:t>
      </w:r>
    </w:p>
    <w:p w14:paraId="33C1B2BE" w14:textId="77777777" w:rsidR="00286639" w:rsidRPr="008F36DF" w:rsidRDefault="00194F18" w:rsidP="00286639">
      <w:pPr>
        <w:pStyle w:val="a3"/>
        <w:numPr>
          <w:ilvl w:val="0"/>
          <w:numId w:val="19"/>
        </w:numPr>
        <w:spacing w:line="360" w:lineRule="auto"/>
        <w:rPr>
          <w:sz w:val="28"/>
          <w:szCs w:val="28"/>
        </w:rPr>
      </w:pPr>
      <w:r w:rsidRPr="008F36DF">
        <w:rPr>
          <w:sz w:val="28"/>
          <w:szCs w:val="28"/>
        </w:rPr>
        <w:t xml:space="preserve">проверку используемой в проекте стандарта терминологии на соответствие требованиям законодательства Российской Федерации; </w:t>
      </w:r>
    </w:p>
    <w:p w14:paraId="28F2EE07" w14:textId="77777777" w:rsidR="00286639" w:rsidRPr="008F36DF" w:rsidRDefault="00194F18" w:rsidP="00286639">
      <w:pPr>
        <w:pStyle w:val="a3"/>
        <w:numPr>
          <w:ilvl w:val="0"/>
          <w:numId w:val="19"/>
        </w:numPr>
        <w:spacing w:line="360" w:lineRule="auto"/>
        <w:rPr>
          <w:sz w:val="28"/>
          <w:szCs w:val="28"/>
        </w:rPr>
      </w:pPr>
      <w:r w:rsidRPr="008F36DF">
        <w:rPr>
          <w:sz w:val="28"/>
          <w:szCs w:val="28"/>
        </w:rPr>
        <w:lastRenderedPageBreak/>
        <w:t>проверку соответствия проекта стандарта правилам, установленным в основополагающих национальных стандартах Российской Федерации;</w:t>
      </w:r>
    </w:p>
    <w:p w14:paraId="0AA25591" w14:textId="77777777" w:rsidR="00194F18" w:rsidRPr="008F36DF" w:rsidRDefault="00194F18" w:rsidP="00286639">
      <w:pPr>
        <w:pStyle w:val="a3"/>
        <w:numPr>
          <w:ilvl w:val="0"/>
          <w:numId w:val="19"/>
        </w:numPr>
        <w:spacing w:line="360" w:lineRule="auto"/>
        <w:rPr>
          <w:sz w:val="28"/>
          <w:szCs w:val="28"/>
        </w:rPr>
      </w:pPr>
      <w:r w:rsidRPr="008F36DF">
        <w:rPr>
          <w:sz w:val="28"/>
          <w:szCs w:val="28"/>
        </w:rPr>
        <w:t>оценку полноты установления в проекте стандарта требований к объекту стандартизации.</w:t>
      </w:r>
    </w:p>
    <w:p w14:paraId="10B9590C" w14:textId="77777777" w:rsidR="00194F18" w:rsidRPr="008F36DF" w:rsidRDefault="00194F18" w:rsidP="00194F18">
      <w:pPr>
        <w:spacing w:line="360" w:lineRule="auto"/>
        <w:ind w:firstLine="708"/>
        <w:rPr>
          <w:sz w:val="28"/>
          <w:szCs w:val="28"/>
        </w:rPr>
      </w:pPr>
      <w:r w:rsidRPr="008F36DF">
        <w:rPr>
          <w:sz w:val="28"/>
          <w:szCs w:val="28"/>
        </w:rPr>
        <w:t xml:space="preserve">Проект стандарта разработан в соответствии с основными положениями Федерального закона от </w:t>
      </w:r>
      <w:r w:rsidR="00FF4361" w:rsidRPr="008F36DF">
        <w:rPr>
          <w:sz w:val="28"/>
          <w:szCs w:val="28"/>
        </w:rPr>
        <w:t xml:space="preserve">29 июня 2015 г. </w:t>
      </w:r>
      <w:r w:rsidRPr="008F36DF">
        <w:rPr>
          <w:sz w:val="28"/>
          <w:szCs w:val="28"/>
        </w:rPr>
        <w:t>№ 162-ФЗ «О стандартизации в Российской Федерации» и основополагающими национальными стандартами Российской Федерации.</w:t>
      </w:r>
    </w:p>
    <w:p w14:paraId="3199CBC5" w14:textId="77777777" w:rsidR="00194F18" w:rsidRPr="008F36DF" w:rsidRDefault="00194F18" w:rsidP="00194F18">
      <w:pPr>
        <w:spacing w:line="360" w:lineRule="auto"/>
        <w:ind w:firstLine="708"/>
        <w:rPr>
          <w:sz w:val="28"/>
          <w:szCs w:val="28"/>
        </w:rPr>
      </w:pPr>
      <w:r w:rsidRPr="008F36DF">
        <w:rPr>
          <w:sz w:val="28"/>
          <w:szCs w:val="28"/>
        </w:rPr>
        <w:t>Проект стандарта не противоречит директивным документам по стандартизации Федерального агентства по техническому регулированию и метрологии (Росстандарта), требованиям технических регламентов, а также национальных стандартов, разработанных для содействия соблюдению требований технических регламентов.</w:t>
      </w:r>
    </w:p>
    <w:p w14:paraId="742B170F" w14:textId="77777777" w:rsidR="00194F18" w:rsidRPr="008F36DF" w:rsidRDefault="00194F18" w:rsidP="00194F18">
      <w:pPr>
        <w:spacing w:line="360" w:lineRule="auto"/>
        <w:ind w:firstLine="708"/>
        <w:rPr>
          <w:sz w:val="28"/>
          <w:szCs w:val="28"/>
        </w:rPr>
      </w:pPr>
      <w:r w:rsidRPr="008F36DF">
        <w:rPr>
          <w:sz w:val="28"/>
          <w:szCs w:val="28"/>
        </w:rPr>
        <w:t xml:space="preserve">Проект стандарта не противоречит основным положениям международных договоров (соглашений), участником которых является Российская Федерация. </w:t>
      </w:r>
    </w:p>
    <w:p w14:paraId="34209A21" w14:textId="77777777" w:rsidR="00085BCB" w:rsidRPr="008F36DF" w:rsidRDefault="00085BCB" w:rsidP="00085BCB">
      <w:pPr>
        <w:spacing w:line="360" w:lineRule="auto"/>
        <w:ind w:firstLine="708"/>
        <w:rPr>
          <w:sz w:val="28"/>
          <w:szCs w:val="28"/>
        </w:rPr>
      </w:pPr>
      <w:r w:rsidRPr="00170135">
        <w:rPr>
          <w:sz w:val="28"/>
          <w:szCs w:val="28"/>
        </w:rPr>
        <w:t>Проект стандарта разработан с учетом национальных стандартов, распространяющихся на данный объект стандартизации.</w:t>
      </w:r>
    </w:p>
    <w:p w14:paraId="61C5AB3E" w14:textId="77777777" w:rsidR="00194F18" w:rsidRPr="008F36DF" w:rsidRDefault="00194F18" w:rsidP="00194F18">
      <w:pPr>
        <w:spacing w:line="360" w:lineRule="auto"/>
        <w:ind w:firstLine="708"/>
        <w:rPr>
          <w:sz w:val="28"/>
          <w:szCs w:val="28"/>
        </w:rPr>
      </w:pPr>
      <w:r w:rsidRPr="008F36DF">
        <w:rPr>
          <w:sz w:val="28"/>
          <w:szCs w:val="28"/>
        </w:rPr>
        <w:t xml:space="preserve">Разработанный </w:t>
      </w:r>
      <w:r w:rsidR="00A30330">
        <w:rPr>
          <w:sz w:val="28"/>
          <w:szCs w:val="28"/>
        </w:rPr>
        <w:t xml:space="preserve">проект </w:t>
      </w:r>
      <w:r w:rsidRPr="008F36DF">
        <w:rPr>
          <w:sz w:val="28"/>
          <w:szCs w:val="28"/>
        </w:rPr>
        <w:t>стандарт</w:t>
      </w:r>
      <w:r w:rsidR="00A30330">
        <w:rPr>
          <w:sz w:val="28"/>
          <w:szCs w:val="28"/>
        </w:rPr>
        <w:t>а</w:t>
      </w:r>
      <w:r w:rsidRPr="008F36DF">
        <w:rPr>
          <w:sz w:val="28"/>
          <w:szCs w:val="28"/>
        </w:rPr>
        <w:t xml:space="preserve"> соответствует современному уровню развития науки, техники и технологий, передовому отечественному и зарубежному опыту.</w:t>
      </w:r>
    </w:p>
    <w:p w14:paraId="77475FC2" w14:textId="77777777" w:rsidR="00085BCB" w:rsidRPr="00085BCB" w:rsidRDefault="00085BCB" w:rsidP="00085BCB">
      <w:pPr>
        <w:spacing w:line="360" w:lineRule="auto"/>
        <w:ind w:firstLine="708"/>
        <w:rPr>
          <w:sz w:val="28"/>
          <w:szCs w:val="28"/>
        </w:rPr>
      </w:pPr>
      <w:r w:rsidRPr="00085BCB">
        <w:rPr>
          <w:sz w:val="28"/>
          <w:szCs w:val="28"/>
        </w:rPr>
        <w:t xml:space="preserve">Проект ГОСТ Р разработан с целью установления целей, задач, содержания и порядка проведения </w:t>
      </w:r>
      <w:proofErr w:type="spellStart"/>
      <w:r w:rsidRPr="00085BCB">
        <w:rPr>
          <w:sz w:val="28"/>
          <w:szCs w:val="28"/>
        </w:rPr>
        <w:t>нормоконтроля</w:t>
      </w:r>
      <w:proofErr w:type="spellEnd"/>
      <w:r w:rsidRPr="00085BCB">
        <w:rPr>
          <w:sz w:val="28"/>
          <w:szCs w:val="28"/>
        </w:rPr>
        <w:t xml:space="preserve"> конструкторской документации</w:t>
      </w:r>
      <w:r w:rsidR="000D05CD">
        <w:rPr>
          <w:sz w:val="28"/>
          <w:szCs w:val="28"/>
        </w:rPr>
        <w:t xml:space="preserve"> (КД)</w:t>
      </w:r>
      <w:r w:rsidRPr="00085BC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085BCB">
        <w:rPr>
          <w:sz w:val="28"/>
          <w:szCs w:val="28"/>
        </w:rPr>
        <w:t>Настоящий стандарт разработан с учетом действующего ГОСТ 2.111–2013 в составе пакета новых редакций ГОСТ Р ЕСКД.</w:t>
      </w:r>
    </w:p>
    <w:p w14:paraId="08318772" w14:textId="77777777" w:rsidR="00085BCB" w:rsidRDefault="00085BCB" w:rsidP="00085BCB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В стандарте</w:t>
      </w:r>
      <w:r w:rsidRPr="00085BCB">
        <w:rPr>
          <w:sz w:val="28"/>
          <w:szCs w:val="28"/>
        </w:rPr>
        <w:t xml:space="preserve">: </w:t>
      </w:r>
    </w:p>
    <w:p w14:paraId="6F25DE87" w14:textId="77777777" w:rsidR="00085BCB" w:rsidRPr="00085BCB" w:rsidRDefault="00085BCB" w:rsidP="00085BCB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установлен рекомендуемый состав проверок КД </w:t>
      </w:r>
      <w:proofErr w:type="spellStart"/>
      <w:r>
        <w:rPr>
          <w:sz w:val="28"/>
          <w:szCs w:val="28"/>
        </w:rPr>
        <w:t>нормоконтр</w:t>
      </w:r>
      <w:r w:rsidR="000D05CD">
        <w:rPr>
          <w:sz w:val="28"/>
          <w:szCs w:val="28"/>
        </w:rPr>
        <w:t>о</w:t>
      </w:r>
      <w:r>
        <w:rPr>
          <w:sz w:val="28"/>
          <w:szCs w:val="28"/>
        </w:rPr>
        <w:t>лером</w:t>
      </w:r>
      <w:proofErr w:type="spellEnd"/>
      <w:r>
        <w:rPr>
          <w:sz w:val="28"/>
          <w:szCs w:val="28"/>
        </w:rPr>
        <w:t xml:space="preserve"> и указаны в</w:t>
      </w:r>
      <w:r w:rsidRPr="00085BCB">
        <w:rPr>
          <w:sz w:val="28"/>
          <w:szCs w:val="28"/>
        </w:rPr>
        <w:t>озможны</w:t>
      </w:r>
      <w:r>
        <w:rPr>
          <w:sz w:val="28"/>
          <w:szCs w:val="28"/>
        </w:rPr>
        <w:t>е</w:t>
      </w:r>
      <w:r w:rsidRPr="00085BCB">
        <w:rPr>
          <w:sz w:val="28"/>
          <w:szCs w:val="28"/>
        </w:rPr>
        <w:t xml:space="preserve"> способ</w:t>
      </w:r>
      <w:r>
        <w:rPr>
          <w:sz w:val="28"/>
          <w:szCs w:val="28"/>
        </w:rPr>
        <w:t>ы</w:t>
      </w:r>
      <w:r w:rsidRPr="00085BCB">
        <w:rPr>
          <w:sz w:val="28"/>
          <w:szCs w:val="28"/>
        </w:rPr>
        <w:t xml:space="preserve"> контроля требований (например, </w:t>
      </w:r>
      <w:r w:rsidR="000D05CD">
        <w:rPr>
          <w:sz w:val="28"/>
          <w:szCs w:val="28"/>
        </w:rPr>
        <w:t xml:space="preserve">проверить </w:t>
      </w:r>
      <w:r w:rsidRPr="00085BCB">
        <w:rPr>
          <w:sz w:val="28"/>
          <w:szCs w:val="28"/>
        </w:rPr>
        <w:t xml:space="preserve">целостность файла </w:t>
      </w:r>
      <w:r w:rsidR="000D05CD">
        <w:rPr>
          <w:sz w:val="28"/>
          <w:szCs w:val="28"/>
        </w:rPr>
        <w:t>человеку</w:t>
      </w:r>
      <w:r w:rsidRPr="00085BCB">
        <w:rPr>
          <w:sz w:val="28"/>
          <w:szCs w:val="28"/>
        </w:rPr>
        <w:t xml:space="preserve"> сложно, но такая в проверка требуется </w:t>
      </w:r>
      <w:r w:rsidR="000D05CD">
        <w:rPr>
          <w:sz w:val="28"/>
          <w:szCs w:val="28"/>
        </w:rPr>
        <w:t>–</w:t>
      </w:r>
      <w:r w:rsidRPr="00085BCB">
        <w:rPr>
          <w:sz w:val="28"/>
          <w:szCs w:val="28"/>
        </w:rPr>
        <w:t xml:space="preserve"> ее </w:t>
      </w:r>
      <w:r w:rsidRPr="00085BCB">
        <w:rPr>
          <w:sz w:val="28"/>
          <w:szCs w:val="28"/>
        </w:rPr>
        <w:lastRenderedPageBreak/>
        <w:t xml:space="preserve">целесообразно выполнять средствами используемой </w:t>
      </w:r>
      <w:r w:rsidR="000D05CD">
        <w:rPr>
          <w:sz w:val="28"/>
          <w:szCs w:val="28"/>
        </w:rPr>
        <w:t xml:space="preserve">автоматизированной </w:t>
      </w:r>
      <w:r w:rsidRPr="00085BCB">
        <w:rPr>
          <w:sz w:val="28"/>
          <w:szCs w:val="28"/>
        </w:rPr>
        <w:t>системы).</w:t>
      </w:r>
    </w:p>
    <w:p w14:paraId="1AD6D123" w14:textId="77777777" w:rsidR="00085BCB" w:rsidRPr="00085BCB" w:rsidRDefault="00085BCB" w:rsidP="00085BCB">
      <w:pPr>
        <w:spacing w:line="360" w:lineRule="auto"/>
        <w:ind w:firstLine="708"/>
        <w:rPr>
          <w:sz w:val="28"/>
          <w:szCs w:val="28"/>
        </w:rPr>
      </w:pPr>
      <w:r w:rsidRPr="00085BCB">
        <w:rPr>
          <w:sz w:val="28"/>
          <w:szCs w:val="28"/>
        </w:rPr>
        <w:t xml:space="preserve">- установлена ведущая роль </w:t>
      </w:r>
      <w:proofErr w:type="spellStart"/>
      <w:r w:rsidRPr="00085BCB">
        <w:rPr>
          <w:sz w:val="28"/>
          <w:szCs w:val="28"/>
        </w:rPr>
        <w:t>нормоконтролера</w:t>
      </w:r>
      <w:proofErr w:type="spellEnd"/>
      <w:r w:rsidRPr="00085BCB">
        <w:rPr>
          <w:sz w:val="28"/>
          <w:szCs w:val="28"/>
        </w:rPr>
        <w:t xml:space="preserve"> в формировании требований к автоматизированным системам в части проверки </w:t>
      </w:r>
      <w:r w:rsidR="000D05CD">
        <w:rPr>
          <w:sz w:val="28"/>
          <w:szCs w:val="28"/>
        </w:rPr>
        <w:t>КД</w:t>
      </w:r>
      <w:r w:rsidRPr="00085BCB">
        <w:rPr>
          <w:sz w:val="28"/>
          <w:szCs w:val="28"/>
        </w:rPr>
        <w:t xml:space="preserve"> и порядка ее согласования;</w:t>
      </w:r>
    </w:p>
    <w:p w14:paraId="3E21FB5D" w14:textId="77777777" w:rsidR="00085BCB" w:rsidRPr="00085BCB" w:rsidRDefault="00085BCB" w:rsidP="00085BCB">
      <w:pPr>
        <w:spacing w:line="360" w:lineRule="auto"/>
        <w:ind w:firstLine="708"/>
        <w:rPr>
          <w:sz w:val="28"/>
          <w:szCs w:val="28"/>
        </w:rPr>
      </w:pPr>
      <w:r w:rsidRPr="00085BCB">
        <w:rPr>
          <w:sz w:val="28"/>
          <w:szCs w:val="28"/>
        </w:rPr>
        <w:t xml:space="preserve">- исключено требование о проведении </w:t>
      </w:r>
      <w:proofErr w:type="spellStart"/>
      <w:r w:rsidRPr="00085BCB">
        <w:rPr>
          <w:sz w:val="28"/>
          <w:szCs w:val="28"/>
        </w:rPr>
        <w:t>нормоконтроля</w:t>
      </w:r>
      <w:proofErr w:type="spellEnd"/>
      <w:r w:rsidRPr="00085BCB">
        <w:rPr>
          <w:sz w:val="28"/>
          <w:szCs w:val="28"/>
        </w:rPr>
        <w:t xml:space="preserve"> в два этапа (ключевым требованием является запрет на изменение документа после подписания его </w:t>
      </w:r>
      <w:proofErr w:type="spellStart"/>
      <w:r w:rsidRPr="00085BCB">
        <w:rPr>
          <w:sz w:val="28"/>
          <w:szCs w:val="28"/>
        </w:rPr>
        <w:t>нормоконтролером</w:t>
      </w:r>
      <w:proofErr w:type="spellEnd"/>
      <w:r w:rsidRPr="00085BCB">
        <w:rPr>
          <w:sz w:val="28"/>
          <w:szCs w:val="28"/>
        </w:rPr>
        <w:t xml:space="preserve">, в этом случае, нет разницы - документ утверждают после подписи </w:t>
      </w:r>
      <w:proofErr w:type="spellStart"/>
      <w:r w:rsidRPr="00085BCB">
        <w:rPr>
          <w:sz w:val="28"/>
          <w:szCs w:val="28"/>
        </w:rPr>
        <w:t>нормоконтролера</w:t>
      </w:r>
      <w:proofErr w:type="spellEnd"/>
      <w:r w:rsidRPr="00085BCB">
        <w:rPr>
          <w:sz w:val="28"/>
          <w:szCs w:val="28"/>
        </w:rPr>
        <w:t xml:space="preserve"> или до);</w:t>
      </w:r>
    </w:p>
    <w:p w14:paraId="38B4FBD9" w14:textId="77777777" w:rsidR="00085BCB" w:rsidRDefault="00085BCB" w:rsidP="00085BCB">
      <w:pPr>
        <w:spacing w:line="360" w:lineRule="auto"/>
        <w:ind w:firstLine="708"/>
        <w:rPr>
          <w:sz w:val="28"/>
          <w:szCs w:val="28"/>
        </w:rPr>
      </w:pPr>
      <w:r w:rsidRPr="00085BCB">
        <w:rPr>
          <w:sz w:val="28"/>
          <w:szCs w:val="28"/>
        </w:rPr>
        <w:t xml:space="preserve">- уточнен объем </w:t>
      </w:r>
      <w:proofErr w:type="spellStart"/>
      <w:r w:rsidRPr="00085BCB">
        <w:rPr>
          <w:sz w:val="28"/>
          <w:szCs w:val="28"/>
        </w:rPr>
        <w:t>нормоконтроля</w:t>
      </w:r>
      <w:proofErr w:type="spellEnd"/>
      <w:r w:rsidRPr="00085BCB">
        <w:rPr>
          <w:sz w:val="28"/>
          <w:szCs w:val="28"/>
        </w:rPr>
        <w:t xml:space="preserve"> при проверке извещений об изменении (для электронно</w:t>
      </w:r>
      <w:r w:rsidR="000D05CD">
        <w:rPr>
          <w:sz w:val="28"/>
          <w:szCs w:val="28"/>
        </w:rPr>
        <w:t>й</w:t>
      </w:r>
      <w:r w:rsidRPr="00085BCB">
        <w:rPr>
          <w:sz w:val="28"/>
          <w:szCs w:val="28"/>
        </w:rPr>
        <w:t xml:space="preserve"> КД целесообразно проверить весь документ, а не только в объеме изменений, что фактически и происходит, т.</w:t>
      </w:r>
      <w:r>
        <w:rPr>
          <w:sz w:val="28"/>
          <w:szCs w:val="28"/>
        </w:rPr>
        <w:t> </w:t>
      </w:r>
      <w:r w:rsidRPr="00085BCB">
        <w:rPr>
          <w:sz w:val="28"/>
          <w:szCs w:val="28"/>
        </w:rPr>
        <w:t xml:space="preserve">к.  для электронной КД </w:t>
      </w:r>
      <w:r w:rsidR="000D05CD">
        <w:rPr>
          <w:sz w:val="28"/>
          <w:szCs w:val="28"/>
        </w:rPr>
        <w:t>внесение изменений</w:t>
      </w:r>
      <w:r w:rsidRPr="00085BCB">
        <w:rPr>
          <w:sz w:val="28"/>
          <w:szCs w:val="28"/>
        </w:rPr>
        <w:t xml:space="preserve"> прои</w:t>
      </w:r>
      <w:r w:rsidR="000D05CD">
        <w:rPr>
          <w:sz w:val="28"/>
          <w:szCs w:val="28"/>
        </w:rPr>
        <w:t xml:space="preserve">зводится </w:t>
      </w:r>
      <w:r w:rsidRPr="00085BCB">
        <w:rPr>
          <w:sz w:val="28"/>
          <w:szCs w:val="28"/>
        </w:rPr>
        <w:t xml:space="preserve">заменой файла. При этом критична проверка актуальности ссылок </w:t>
      </w:r>
      <w:r>
        <w:rPr>
          <w:sz w:val="28"/>
          <w:szCs w:val="28"/>
        </w:rPr>
        <w:t xml:space="preserve">на </w:t>
      </w:r>
      <w:r w:rsidRPr="00085BCB">
        <w:rPr>
          <w:sz w:val="28"/>
          <w:szCs w:val="28"/>
        </w:rPr>
        <w:t>ДС</w:t>
      </w:r>
      <w:r>
        <w:rPr>
          <w:sz w:val="28"/>
          <w:szCs w:val="28"/>
        </w:rPr>
        <w:t xml:space="preserve"> в изменяемых документах</w:t>
      </w:r>
      <w:r w:rsidRPr="00085BCB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122E7E3D" w14:textId="77777777" w:rsidR="00194F18" w:rsidRPr="008F36DF" w:rsidRDefault="000D05CD" w:rsidP="00085BCB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В стандарте уточнено, что нормоконтроль является частью р</w:t>
      </w:r>
      <w:r w:rsidR="00085BCB" w:rsidRPr="00085BCB">
        <w:rPr>
          <w:sz w:val="28"/>
          <w:szCs w:val="28"/>
        </w:rPr>
        <w:t>абот по стандартизации и унификации</w:t>
      </w:r>
      <w:r>
        <w:rPr>
          <w:sz w:val="28"/>
          <w:szCs w:val="28"/>
        </w:rPr>
        <w:t xml:space="preserve"> в организации, но непосредственно задачи по повышению уровня стандартизации и унификации в изделиях, разрабатываемых в организации, не относятся к задачам </w:t>
      </w:r>
      <w:proofErr w:type="spellStart"/>
      <w:r>
        <w:rPr>
          <w:sz w:val="28"/>
          <w:szCs w:val="28"/>
        </w:rPr>
        <w:t>нормоконтроля</w:t>
      </w:r>
      <w:proofErr w:type="spellEnd"/>
      <w:r>
        <w:rPr>
          <w:sz w:val="28"/>
          <w:szCs w:val="28"/>
        </w:rPr>
        <w:t>. Это задачи других подразделений отдела стандартизации (или его аналога).</w:t>
      </w:r>
    </w:p>
    <w:p w14:paraId="1CADABCD" w14:textId="77777777" w:rsidR="00CA75B1" w:rsidRPr="008F36DF" w:rsidRDefault="00CA75B1" w:rsidP="00CA75B1">
      <w:pPr>
        <w:tabs>
          <w:tab w:val="left" w:pos="1260"/>
        </w:tabs>
        <w:spacing w:line="360" w:lineRule="auto"/>
        <w:rPr>
          <w:sz w:val="28"/>
          <w:szCs w:val="28"/>
        </w:rPr>
      </w:pPr>
      <w:r w:rsidRPr="008F36DF">
        <w:rPr>
          <w:sz w:val="28"/>
          <w:szCs w:val="28"/>
        </w:rPr>
        <w:t>Национальный стандарт разрабатывается впервые.</w:t>
      </w:r>
    </w:p>
    <w:p w14:paraId="4DA48F72" w14:textId="77777777" w:rsidR="00286639" w:rsidRPr="00BA1E82" w:rsidRDefault="00194F18" w:rsidP="00286639">
      <w:pPr>
        <w:pStyle w:val="ac"/>
        <w:suppressAutoHyphens/>
        <w:spacing w:line="360" w:lineRule="auto"/>
        <w:ind w:firstLine="680"/>
        <w:jc w:val="both"/>
        <w:rPr>
          <w:color w:val="000000"/>
          <w:sz w:val="28"/>
          <w:szCs w:val="28"/>
        </w:rPr>
      </w:pPr>
      <w:r w:rsidRPr="008F36DF">
        <w:rPr>
          <w:sz w:val="28"/>
          <w:szCs w:val="28"/>
        </w:rPr>
        <w:t xml:space="preserve">В соответствии с действующими правилами проект стандарта прошел процедуру публичного обсуждения. </w:t>
      </w:r>
    </w:p>
    <w:p w14:paraId="3D1FD631" w14:textId="77777777" w:rsidR="00574C74" w:rsidRPr="00574C74" w:rsidRDefault="00574C74" w:rsidP="00574C74">
      <w:pPr>
        <w:spacing w:line="360" w:lineRule="auto"/>
        <w:rPr>
          <w:sz w:val="28"/>
          <w:szCs w:val="28"/>
        </w:rPr>
      </w:pPr>
      <w:r w:rsidRPr="00574C74">
        <w:rPr>
          <w:sz w:val="28"/>
          <w:szCs w:val="28"/>
        </w:rPr>
        <w:t xml:space="preserve">В ходе рассмотрения первой редакции проекта ГОСТ Р поступили замечания и предложения от </w:t>
      </w:r>
      <w:r w:rsidR="005C23D5">
        <w:rPr>
          <w:sz w:val="28"/>
          <w:szCs w:val="28"/>
        </w:rPr>
        <w:t>53</w:t>
      </w:r>
      <w:r w:rsidRPr="00574C74">
        <w:rPr>
          <w:sz w:val="28"/>
          <w:szCs w:val="28"/>
        </w:rPr>
        <w:t xml:space="preserve"> организаций (</w:t>
      </w:r>
      <w:r w:rsidR="005C23D5" w:rsidRPr="005C23D5">
        <w:rPr>
          <w:sz w:val="28"/>
          <w:szCs w:val="28"/>
        </w:rPr>
        <w:t xml:space="preserve">АО «КБП», АО «Адмиралтейские верфи», АО «Вертолеты России», АО «ИК «НЕОТЕК МАРИН», АО «ИЭМЗ «Купол», АО «Композит», АО «Концерн «Созвездие», АО «Концерн ВКО «Алмаз-Антей», АО «НИИЭ.1П», АО «НИИЭП», АО «НИПТБ «Онега, АО «НПК «КБМ», АО «НПК «Уралвагонзавод», АО «НПО «Высокоточные комплексы», АО «НПО «Электромашина», АО «НПЦАП», АО «НЦВ Миль и Камов», АО «ПО «Севмаш», АО «Решетнёв», АО </w:t>
      </w:r>
      <w:r w:rsidR="005C23D5" w:rsidRPr="005C23D5">
        <w:rPr>
          <w:sz w:val="28"/>
          <w:szCs w:val="28"/>
        </w:rPr>
        <w:lastRenderedPageBreak/>
        <w:t>«Российские космические системы», АО «Северо-западный региональный центр Концерна ВКО «Алмаз-Антей» - Обуховский завод», АО «Системы управления», АО «Туполев», АО «УКБТМ», АО «ЦКБ «Коралл», АО «ЦКБ МТ «Рубин», АО «</w:t>
      </w:r>
      <w:proofErr w:type="spellStart"/>
      <w:r w:rsidR="005C23D5" w:rsidRPr="005C23D5">
        <w:rPr>
          <w:sz w:val="28"/>
          <w:szCs w:val="28"/>
        </w:rPr>
        <w:t>ЦНИИмаш</w:t>
      </w:r>
      <w:proofErr w:type="spellEnd"/>
      <w:r w:rsidR="005C23D5" w:rsidRPr="005C23D5">
        <w:rPr>
          <w:sz w:val="28"/>
          <w:szCs w:val="28"/>
        </w:rPr>
        <w:t>», АО «ЦНИИТОЧМАШ», АО НПП «АМЭ», АО НПП «Респиратор», Ассоциация «Объединение производителей железнодорожной техники», Госкорпорация «Росатом», Группа «ТМХ», Корпорация "Московский институт теплотехники", Научно-исследовательский испытательный центр (г. Москва) ЦНИИ ВКС МО РФ, НИЦ «Курчатовский институт», ОКБ им. А. Люльки - филиал ПАО «ОДК-УМПО», ОКБ Сухого, ООО «КСК», ООО «ОИЦ», ПАО «Амурский судостроительный завод», ПАО «ОАК», ПАО «ОДК-УМПО», ПАО «Роствертол», ПАО «Яковлев», Союз «Объединение вагоностроителей», ФАУ «</w:t>
      </w:r>
      <w:proofErr w:type="spellStart"/>
      <w:r w:rsidR="005C23D5" w:rsidRPr="005C23D5">
        <w:rPr>
          <w:sz w:val="28"/>
          <w:szCs w:val="28"/>
        </w:rPr>
        <w:t>ГосНИИАС</w:t>
      </w:r>
      <w:proofErr w:type="spellEnd"/>
      <w:r w:rsidR="005C23D5" w:rsidRPr="005C23D5">
        <w:rPr>
          <w:sz w:val="28"/>
          <w:szCs w:val="28"/>
        </w:rPr>
        <w:t>», ФГБУ «16 ЦНИИИ МО РФ», ФГБУ «21 Научно-исследовательский испытательный институт военной автомобильной техники» Министерства обороны РФ, ФГБУ «46 ЦНИИ», ФГБУ «НИИЦ ЖДВ» Минобороны России, ФГУП «ВНИИ «Центр», ФГУП «РФЯЦ-ВНИИЭФ»</w:t>
      </w:r>
      <w:r w:rsidRPr="00574C74">
        <w:rPr>
          <w:sz w:val="28"/>
          <w:szCs w:val="28"/>
        </w:rPr>
        <w:t xml:space="preserve">). В отзывах </w:t>
      </w:r>
      <w:r w:rsidR="005C23D5">
        <w:rPr>
          <w:sz w:val="28"/>
          <w:szCs w:val="28"/>
        </w:rPr>
        <w:t>27</w:t>
      </w:r>
      <w:r w:rsidRPr="00574C74">
        <w:rPr>
          <w:sz w:val="28"/>
          <w:szCs w:val="28"/>
        </w:rPr>
        <w:t xml:space="preserve"> организации замечания и предложения отсутствуют.</w:t>
      </w:r>
    </w:p>
    <w:p w14:paraId="0968DE1C" w14:textId="77777777" w:rsidR="005C23D5" w:rsidRPr="005C23D5" w:rsidRDefault="00574C74" w:rsidP="00574C74">
      <w:pPr>
        <w:spacing w:line="360" w:lineRule="auto"/>
        <w:rPr>
          <w:sz w:val="28"/>
          <w:szCs w:val="28"/>
        </w:rPr>
      </w:pPr>
      <w:r w:rsidRPr="00574C74">
        <w:rPr>
          <w:sz w:val="28"/>
          <w:szCs w:val="28"/>
        </w:rPr>
        <w:t>По всем полученным замечаниям и предложениям составлена сводка отзывов, на основании которой подготовлена окончательная редакция проекта ГОСТ Р.</w:t>
      </w:r>
      <w:r w:rsidR="005C23D5" w:rsidRPr="005C23D5">
        <w:rPr>
          <w:sz w:val="28"/>
          <w:szCs w:val="28"/>
        </w:rPr>
        <w:t xml:space="preserve"> Из 676 полученных замечаний: принято – 334, принято частично – 71, отклонено – 122, принято к сведению – 149.</w:t>
      </w:r>
    </w:p>
    <w:p w14:paraId="171D9684" w14:textId="77777777" w:rsidR="00574C74" w:rsidRDefault="005C23D5" w:rsidP="00574C74">
      <w:pPr>
        <w:spacing w:line="360" w:lineRule="auto"/>
        <w:rPr>
          <w:sz w:val="28"/>
          <w:szCs w:val="28"/>
        </w:rPr>
      </w:pPr>
      <w:r w:rsidRPr="005C23D5">
        <w:rPr>
          <w:sz w:val="28"/>
          <w:szCs w:val="28"/>
        </w:rPr>
        <w:t>Проект стандарта существенно доработан по замечаниям ПАО «РКК «Энергия», АО «КБП», ФГУП «РФЯЦ-ВНИИЭФ», Группа «ТМХ», АО «</w:t>
      </w:r>
      <w:proofErr w:type="spellStart"/>
      <w:r w:rsidRPr="005C23D5">
        <w:rPr>
          <w:sz w:val="28"/>
          <w:szCs w:val="28"/>
        </w:rPr>
        <w:t>ЦНИИмаш</w:t>
      </w:r>
      <w:proofErr w:type="spellEnd"/>
      <w:r w:rsidRPr="005C23D5">
        <w:rPr>
          <w:sz w:val="28"/>
          <w:szCs w:val="28"/>
        </w:rPr>
        <w:t xml:space="preserve">», ФГУП «ВНИИ «Центр», Ассоциация «ОПЖТ», ПАО «ОАК», АО «НЦВ Миль и Камов», ОКБ им. А. Люльки - филиал ПАО «ОДК-УМПО», АО «НПЦАП», АО «Концерн ВКО «Алмаз-Антей» и других. Уточнены положения по задачам </w:t>
      </w:r>
      <w:proofErr w:type="spellStart"/>
      <w:r w:rsidRPr="005C23D5">
        <w:rPr>
          <w:sz w:val="28"/>
          <w:szCs w:val="28"/>
        </w:rPr>
        <w:t>нормоконтроля</w:t>
      </w:r>
      <w:proofErr w:type="spellEnd"/>
      <w:r w:rsidRPr="005C23D5">
        <w:rPr>
          <w:sz w:val="28"/>
          <w:szCs w:val="28"/>
        </w:rPr>
        <w:t xml:space="preserve">, организации </w:t>
      </w:r>
      <w:proofErr w:type="spellStart"/>
      <w:r w:rsidRPr="005C23D5">
        <w:rPr>
          <w:sz w:val="28"/>
          <w:szCs w:val="28"/>
        </w:rPr>
        <w:t>нормоконтроля</w:t>
      </w:r>
      <w:proofErr w:type="spellEnd"/>
      <w:r w:rsidRPr="005C23D5">
        <w:rPr>
          <w:sz w:val="28"/>
          <w:szCs w:val="28"/>
        </w:rPr>
        <w:t xml:space="preserve">, обязанностях и правах </w:t>
      </w:r>
      <w:proofErr w:type="spellStart"/>
      <w:r w:rsidRPr="005C23D5">
        <w:rPr>
          <w:sz w:val="28"/>
          <w:szCs w:val="28"/>
        </w:rPr>
        <w:t>нормоконтролеров</w:t>
      </w:r>
      <w:proofErr w:type="spellEnd"/>
      <w:r w:rsidRPr="005C23D5">
        <w:rPr>
          <w:sz w:val="28"/>
          <w:szCs w:val="28"/>
        </w:rPr>
        <w:t>.</w:t>
      </w:r>
    </w:p>
    <w:p w14:paraId="6523FE39" w14:textId="77777777" w:rsidR="00D46D66" w:rsidRDefault="00214F35" w:rsidP="00214F35">
      <w:pPr>
        <w:spacing w:line="360" w:lineRule="auto"/>
        <w:rPr>
          <w:sz w:val="28"/>
          <w:szCs w:val="28"/>
        </w:rPr>
      </w:pPr>
      <w:r w:rsidRPr="0090600E">
        <w:rPr>
          <w:sz w:val="28"/>
          <w:szCs w:val="28"/>
        </w:rPr>
        <w:lastRenderedPageBreak/>
        <w:t xml:space="preserve">Окончательная редакция проекта стандарта рассмотрена членами ТК 482 «Поддержка жизненного цикла продукции», в результате чего поступили замечания и предложения от </w:t>
      </w:r>
      <w:r w:rsidR="0090600E" w:rsidRPr="0090600E">
        <w:rPr>
          <w:sz w:val="28"/>
          <w:szCs w:val="28"/>
        </w:rPr>
        <w:t>28</w:t>
      </w:r>
      <w:r w:rsidRPr="0090600E">
        <w:rPr>
          <w:sz w:val="28"/>
          <w:szCs w:val="28"/>
        </w:rPr>
        <w:t xml:space="preserve"> организаций: </w:t>
      </w:r>
      <w:r w:rsidR="0090600E" w:rsidRPr="0090600E">
        <w:rPr>
          <w:sz w:val="28"/>
          <w:szCs w:val="28"/>
        </w:rPr>
        <w:t>АО «ИК «</w:t>
      </w:r>
      <w:proofErr w:type="spellStart"/>
      <w:r w:rsidR="0090600E" w:rsidRPr="0090600E">
        <w:rPr>
          <w:sz w:val="28"/>
          <w:szCs w:val="28"/>
        </w:rPr>
        <w:t>Неотек</w:t>
      </w:r>
      <w:proofErr w:type="spellEnd"/>
      <w:r w:rsidR="0090600E" w:rsidRPr="0090600E">
        <w:rPr>
          <w:sz w:val="28"/>
          <w:szCs w:val="28"/>
        </w:rPr>
        <w:t xml:space="preserve"> Марин», АО «КБП», АО «Коломенский завод», АО «Концерн «Созвездие», АО «Концерн ВКО «Алмаз-Антей», АО «НПК «Уралвагонзавод», АО «НПО «Высокоточные комплексы», АО «НПО «Квант», АО «ОНИИП», АО «ОПК», АО «ОСК», АО «ПО «УОМЗ», АО «Туполев», АО «ЦКБ МТ «Рубин», АО «</w:t>
      </w:r>
      <w:proofErr w:type="spellStart"/>
      <w:r w:rsidR="0090600E" w:rsidRPr="0090600E">
        <w:rPr>
          <w:sz w:val="28"/>
          <w:szCs w:val="28"/>
        </w:rPr>
        <w:t>ЦНИИмаш</w:t>
      </w:r>
      <w:proofErr w:type="spellEnd"/>
      <w:r w:rsidR="0090600E" w:rsidRPr="0090600E">
        <w:rPr>
          <w:sz w:val="28"/>
          <w:szCs w:val="28"/>
        </w:rPr>
        <w:t xml:space="preserve">», Госкорпорация «Росатом», НИЦ «Курчатовский институт», ООО «ВНИЦТТ», ООО «ТМХ Инжиниринг», ООО «ТМХ Технологии», ООО «УК РМ </w:t>
      </w:r>
      <w:proofErr w:type="spellStart"/>
      <w:r w:rsidR="0090600E" w:rsidRPr="0090600E">
        <w:rPr>
          <w:sz w:val="28"/>
          <w:szCs w:val="28"/>
        </w:rPr>
        <w:t>Рейл</w:t>
      </w:r>
      <w:proofErr w:type="spellEnd"/>
      <w:r w:rsidR="0090600E" w:rsidRPr="0090600E">
        <w:rPr>
          <w:sz w:val="28"/>
          <w:szCs w:val="28"/>
        </w:rPr>
        <w:t>», ПАО «Ил», ПАО «ОДК-УМПО», ПАО «РКК «Энергия», ПАО «Яковлев», Союз вагоностроителей, ФГУП «РФЯЦ-ВНИИЭФ», Филиал ПАО «ОАК» - ОТА.</w:t>
      </w:r>
      <w:r w:rsidR="0090600E">
        <w:rPr>
          <w:sz w:val="28"/>
          <w:szCs w:val="28"/>
        </w:rPr>
        <w:t xml:space="preserve"> </w:t>
      </w:r>
      <w:r w:rsidR="00D46D66" w:rsidRPr="0090600E">
        <w:rPr>
          <w:sz w:val="28"/>
          <w:szCs w:val="28"/>
        </w:rPr>
        <w:t>В отзывах 17 организаций замечания и предложения отсутствуют.</w:t>
      </w:r>
    </w:p>
    <w:p w14:paraId="30DCBA5B" w14:textId="77777777" w:rsidR="00214F35" w:rsidRPr="005C23D5" w:rsidRDefault="0090600E" w:rsidP="00214F35">
      <w:pPr>
        <w:spacing w:line="360" w:lineRule="auto"/>
        <w:rPr>
          <w:sz w:val="28"/>
          <w:szCs w:val="28"/>
          <w:highlight w:val="yellow"/>
        </w:rPr>
      </w:pPr>
      <w:r w:rsidRPr="0090600E">
        <w:rPr>
          <w:sz w:val="28"/>
          <w:szCs w:val="28"/>
        </w:rPr>
        <w:t>По всем полученным замечаниям и предложениям составлена сводка отзывов, на основании которой подготовлена окончательная редакция проекта ГОСТ Р. Из 186 полученных замечаний: принято – 103, принято частично – 11, принято к сведению – 30. Отклонено – 42.</w:t>
      </w:r>
      <w:r>
        <w:rPr>
          <w:sz w:val="28"/>
          <w:szCs w:val="28"/>
        </w:rPr>
        <w:t xml:space="preserve"> </w:t>
      </w:r>
    </w:p>
    <w:p w14:paraId="1EE6133F" w14:textId="77777777" w:rsidR="005C23D5" w:rsidRPr="00883EF7" w:rsidRDefault="005C23D5" w:rsidP="005C23D5">
      <w:pPr>
        <w:spacing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Окончательная редакция была доработана по замечаниям данных организаций и</w:t>
      </w:r>
      <w:r>
        <w:rPr>
          <w:sz w:val="28"/>
          <w:szCs w:val="28"/>
        </w:rPr>
        <w:t xml:space="preserve"> прошла процедуру голосования. </w:t>
      </w:r>
      <w:r w:rsidRPr="00F52456">
        <w:rPr>
          <w:sz w:val="28"/>
          <w:szCs w:val="28"/>
          <w:highlight w:val="yellow"/>
        </w:rPr>
        <w:t>В ходе голосования проект поддержало Х организации из Х, голосов «против» нет. От Х организаций-членов ТК ответы не поступили.</w:t>
      </w:r>
    </w:p>
    <w:p w14:paraId="7B7D17B9" w14:textId="77777777" w:rsidR="001B285E" w:rsidRPr="008F36DF" w:rsidRDefault="00194F18" w:rsidP="0005449D">
      <w:pPr>
        <w:spacing w:line="360" w:lineRule="auto"/>
        <w:rPr>
          <w:sz w:val="28"/>
          <w:szCs w:val="28"/>
        </w:rPr>
      </w:pPr>
      <w:r w:rsidRPr="008F36DF">
        <w:rPr>
          <w:sz w:val="28"/>
          <w:szCs w:val="28"/>
        </w:rPr>
        <w:t xml:space="preserve">На основании статьи 24 Федерального закона от 29 июня 2015 г. № 162-ФЗ «О стандартизации в Российской Федерации», с учетом результатов экспертизы проекта национального стандарта и на основе консенсуса ТК </w:t>
      </w:r>
      <w:r w:rsidR="00684FE8">
        <w:rPr>
          <w:sz w:val="28"/>
          <w:szCs w:val="28"/>
        </w:rPr>
        <w:t>482</w:t>
      </w:r>
      <w:r w:rsidRPr="008F36DF">
        <w:rPr>
          <w:sz w:val="28"/>
          <w:szCs w:val="28"/>
        </w:rPr>
        <w:t xml:space="preserve"> </w:t>
      </w:r>
      <w:r w:rsidR="00684FE8">
        <w:rPr>
          <w:sz w:val="28"/>
          <w:szCs w:val="28"/>
        </w:rPr>
        <w:t>«</w:t>
      </w:r>
      <w:r w:rsidR="00684FE8" w:rsidRPr="00684FE8">
        <w:rPr>
          <w:sz w:val="28"/>
          <w:szCs w:val="28"/>
        </w:rPr>
        <w:t>Поддержка жизненного цикла продукции</w:t>
      </w:r>
      <w:r w:rsidR="00684FE8">
        <w:rPr>
          <w:sz w:val="28"/>
          <w:szCs w:val="28"/>
        </w:rPr>
        <w:t>»</w:t>
      </w:r>
      <w:r w:rsidRPr="008F36DF">
        <w:rPr>
          <w:sz w:val="28"/>
          <w:szCs w:val="28"/>
        </w:rPr>
        <w:t xml:space="preserve"> считает возможным рекомендовать к утверждению проект </w:t>
      </w:r>
      <w:r w:rsidR="004F7442">
        <w:rPr>
          <w:sz w:val="28"/>
          <w:szCs w:val="28"/>
        </w:rPr>
        <w:t>ГОСТ Р</w:t>
      </w:r>
      <w:r w:rsidR="003D439A">
        <w:rPr>
          <w:sz w:val="28"/>
          <w:szCs w:val="28"/>
        </w:rPr>
        <w:t xml:space="preserve"> </w:t>
      </w:r>
      <w:r w:rsidR="003D439A" w:rsidRPr="003D439A">
        <w:rPr>
          <w:sz w:val="28"/>
          <w:szCs w:val="28"/>
        </w:rPr>
        <w:t xml:space="preserve">«Единая система конструкторской документации. </w:t>
      </w:r>
      <w:r w:rsidR="005C23D5">
        <w:rPr>
          <w:sz w:val="28"/>
          <w:szCs w:val="28"/>
        </w:rPr>
        <w:t>Нормоконтроль</w:t>
      </w:r>
      <w:r w:rsidR="003D439A" w:rsidRPr="003D439A">
        <w:rPr>
          <w:sz w:val="28"/>
          <w:szCs w:val="28"/>
        </w:rPr>
        <w:t>»</w:t>
      </w:r>
      <w:r w:rsidR="00286639" w:rsidRPr="00BA1E82">
        <w:rPr>
          <w:color w:val="000000"/>
          <w:sz w:val="28"/>
          <w:szCs w:val="28"/>
        </w:rPr>
        <w:t xml:space="preserve">, </w:t>
      </w:r>
      <w:r w:rsidR="00286639" w:rsidRPr="008F36DF">
        <w:rPr>
          <w:sz w:val="28"/>
          <w:szCs w:val="28"/>
        </w:rPr>
        <w:t xml:space="preserve">разработанный </w:t>
      </w:r>
      <w:r w:rsidR="004F7442">
        <w:rPr>
          <w:sz w:val="28"/>
          <w:szCs w:val="28"/>
        </w:rPr>
        <w:t>А</w:t>
      </w:r>
      <w:r w:rsidR="00684FE8">
        <w:rPr>
          <w:color w:val="000000"/>
          <w:sz w:val="28"/>
          <w:szCs w:val="28"/>
        </w:rPr>
        <w:t xml:space="preserve">О НИЦ «Прикладная </w:t>
      </w:r>
      <w:r w:rsidR="005C23D5">
        <w:rPr>
          <w:color w:val="000000"/>
          <w:sz w:val="28"/>
          <w:szCs w:val="28"/>
        </w:rPr>
        <w:t>л</w:t>
      </w:r>
      <w:r w:rsidR="00684FE8">
        <w:rPr>
          <w:color w:val="000000"/>
          <w:sz w:val="28"/>
          <w:szCs w:val="28"/>
        </w:rPr>
        <w:t>огистика»</w:t>
      </w:r>
      <w:r w:rsidR="00F703EA" w:rsidRPr="008F36DF">
        <w:rPr>
          <w:color w:val="000000"/>
          <w:sz w:val="28"/>
          <w:szCs w:val="28"/>
        </w:rPr>
        <w:t xml:space="preserve"> </w:t>
      </w:r>
      <w:r w:rsidR="00286639" w:rsidRPr="008F36DF">
        <w:rPr>
          <w:sz w:val="28"/>
          <w:szCs w:val="28"/>
        </w:rPr>
        <w:t xml:space="preserve">в рамках </w:t>
      </w:r>
      <w:r w:rsidR="003D439A" w:rsidRPr="003D439A">
        <w:rPr>
          <w:sz w:val="28"/>
          <w:szCs w:val="28"/>
        </w:rPr>
        <w:t>Программы национальной стандартизации на 202</w:t>
      </w:r>
      <w:r w:rsidR="005C23D5">
        <w:rPr>
          <w:sz w:val="28"/>
          <w:szCs w:val="28"/>
        </w:rPr>
        <w:t>3 – 2026</w:t>
      </w:r>
      <w:r w:rsidR="003D439A" w:rsidRPr="003D439A">
        <w:rPr>
          <w:sz w:val="28"/>
          <w:szCs w:val="28"/>
        </w:rPr>
        <w:t xml:space="preserve"> г</w:t>
      </w:r>
      <w:r w:rsidR="005C23D5">
        <w:rPr>
          <w:sz w:val="28"/>
          <w:szCs w:val="28"/>
        </w:rPr>
        <w:t>г</w:t>
      </w:r>
      <w:r w:rsidR="003D439A" w:rsidRPr="003D439A">
        <w:rPr>
          <w:sz w:val="28"/>
          <w:szCs w:val="28"/>
        </w:rPr>
        <w:t xml:space="preserve">. (шифр темы </w:t>
      </w:r>
      <w:r w:rsidR="005C23D5" w:rsidRPr="00386FE1">
        <w:rPr>
          <w:color w:val="000000"/>
        </w:rPr>
        <w:t>1.0.482-1.070.23</w:t>
      </w:r>
      <w:r w:rsidR="003D439A" w:rsidRPr="003D439A">
        <w:rPr>
          <w:sz w:val="28"/>
          <w:szCs w:val="28"/>
        </w:rPr>
        <w:t>)</w:t>
      </w:r>
      <w:r w:rsidR="00286639" w:rsidRPr="008F36DF">
        <w:rPr>
          <w:sz w:val="28"/>
          <w:szCs w:val="28"/>
        </w:rPr>
        <w:t xml:space="preserve">, в качестве национального </w:t>
      </w:r>
      <w:r w:rsidR="00286639" w:rsidRPr="008F36DF">
        <w:rPr>
          <w:sz w:val="28"/>
          <w:szCs w:val="28"/>
        </w:rPr>
        <w:lastRenderedPageBreak/>
        <w:t>стандарта Российской Федерации</w:t>
      </w:r>
      <w:r w:rsidRPr="008F36DF">
        <w:rPr>
          <w:sz w:val="28"/>
          <w:szCs w:val="28"/>
        </w:rPr>
        <w:t xml:space="preserve"> </w:t>
      </w:r>
      <w:bookmarkStart w:id="1" w:name="_Hlk224722134"/>
      <w:r w:rsidR="005C23D5" w:rsidRPr="008B4C1F">
        <w:rPr>
          <w:sz w:val="28"/>
          <w:szCs w:val="28"/>
          <w:highlight w:val="cyan"/>
        </w:rPr>
        <w:t xml:space="preserve">с датой введения в действие «01» </w:t>
      </w:r>
      <w:r w:rsidR="005C23D5">
        <w:rPr>
          <w:sz w:val="28"/>
          <w:szCs w:val="28"/>
          <w:highlight w:val="cyan"/>
        </w:rPr>
        <w:t>октября</w:t>
      </w:r>
      <w:r w:rsidR="005C23D5" w:rsidRPr="008B4C1F">
        <w:rPr>
          <w:sz w:val="28"/>
          <w:szCs w:val="28"/>
          <w:highlight w:val="cyan"/>
        </w:rPr>
        <w:t xml:space="preserve"> 2027 г.</w:t>
      </w:r>
      <w:bookmarkEnd w:id="1"/>
      <w:r w:rsidR="005C23D5">
        <w:rPr>
          <w:sz w:val="28"/>
          <w:szCs w:val="28"/>
        </w:rPr>
        <w:t xml:space="preserve"> </w:t>
      </w:r>
      <w:r w:rsidR="005C23D5" w:rsidRPr="001F68C3">
        <w:rPr>
          <w:sz w:val="28"/>
          <w:szCs w:val="28"/>
          <w:highlight w:val="cyan"/>
        </w:rPr>
        <w:t>(с правом досрочного применения).</w:t>
      </w:r>
    </w:p>
    <w:p w14:paraId="09040B1F" w14:textId="77777777" w:rsidR="00CA75B1" w:rsidRPr="008F36DF" w:rsidRDefault="00CA75B1" w:rsidP="00734E59">
      <w:pPr>
        <w:tabs>
          <w:tab w:val="left" w:pos="7254"/>
        </w:tabs>
        <w:spacing w:after="240"/>
        <w:ind w:firstLine="0"/>
        <w:rPr>
          <w:sz w:val="28"/>
          <w:szCs w:val="28"/>
        </w:rPr>
      </w:pPr>
    </w:p>
    <w:p w14:paraId="7B2B61ED" w14:textId="77777777" w:rsidR="00CA75B1" w:rsidRPr="008F36DF" w:rsidRDefault="00CA75B1" w:rsidP="00CA75B1">
      <w:pPr>
        <w:tabs>
          <w:tab w:val="left" w:pos="7254"/>
        </w:tabs>
        <w:spacing w:line="360" w:lineRule="auto"/>
        <w:ind w:firstLine="0"/>
        <w:jc w:val="left"/>
        <w:rPr>
          <w:sz w:val="28"/>
          <w:szCs w:val="28"/>
        </w:rPr>
      </w:pPr>
      <w:r w:rsidRPr="008F36DF">
        <w:rPr>
          <w:sz w:val="28"/>
          <w:szCs w:val="28"/>
        </w:rPr>
        <w:t xml:space="preserve">Председатель ТК 482 </w:t>
      </w:r>
    </w:p>
    <w:p w14:paraId="4A58ADBE" w14:textId="77777777" w:rsidR="00CA75B1" w:rsidRPr="008F36DF" w:rsidRDefault="00CA75B1" w:rsidP="00CA75B1">
      <w:pPr>
        <w:tabs>
          <w:tab w:val="left" w:pos="7254"/>
        </w:tabs>
        <w:spacing w:line="360" w:lineRule="auto"/>
        <w:ind w:firstLine="0"/>
        <w:jc w:val="left"/>
        <w:rPr>
          <w:sz w:val="28"/>
          <w:szCs w:val="28"/>
        </w:rPr>
      </w:pPr>
      <w:r w:rsidRPr="008F36DF">
        <w:rPr>
          <w:sz w:val="28"/>
          <w:szCs w:val="28"/>
        </w:rPr>
        <w:t>«</w:t>
      </w:r>
      <w:r w:rsidRPr="008F36DF">
        <w:rPr>
          <w:rFonts w:eastAsia="Calibri"/>
          <w:sz w:val="28"/>
          <w:szCs w:val="28"/>
        </w:rPr>
        <w:t>Поддержка жизненного цикла продукции</w:t>
      </w:r>
      <w:r w:rsidRPr="008F36DF">
        <w:rPr>
          <w:sz w:val="28"/>
          <w:szCs w:val="28"/>
        </w:rPr>
        <w:t>»</w:t>
      </w:r>
      <w:r w:rsidRPr="008F36DF">
        <w:rPr>
          <w:sz w:val="28"/>
          <w:szCs w:val="28"/>
        </w:rPr>
        <w:tab/>
        <w:t xml:space="preserve">     Е.В. Судов  </w:t>
      </w:r>
    </w:p>
    <w:p w14:paraId="470E3A8C" w14:textId="77777777" w:rsidR="00641FE4" w:rsidRPr="008F36DF" w:rsidRDefault="00641FE4" w:rsidP="00641FE4">
      <w:pPr>
        <w:tabs>
          <w:tab w:val="left" w:pos="7254"/>
        </w:tabs>
        <w:spacing w:line="240" w:lineRule="auto"/>
        <w:ind w:firstLine="0"/>
        <w:jc w:val="left"/>
        <w:rPr>
          <w:sz w:val="28"/>
          <w:szCs w:val="28"/>
        </w:rPr>
      </w:pPr>
    </w:p>
    <w:sectPr w:rsidR="00641FE4" w:rsidRPr="008F36DF" w:rsidSect="008A6BE3">
      <w:footerReference w:type="default" r:id="rId7"/>
      <w:footerReference w:type="firs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C33F4" w14:textId="77777777" w:rsidR="00133BD1" w:rsidRDefault="00133BD1" w:rsidP="00DF305D">
      <w:pPr>
        <w:spacing w:line="240" w:lineRule="auto"/>
      </w:pPr>
      <w:r>
        <w:separator/>
      </w:r>
    </w:p>
  </w:endnote>
  <w:endnote w:type="continuationSeparator" w:id="0">
    <w:p w14:paraId="1A4BB8B9" w14:textId="77777777" w:rsidR="00133BD1" w:rsidRDefault="00133BD1" w:rsidP="00DF30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C84C4" w14:textId="77777777" w:rsidR="008A6BE3" w:rsidRDefault="008A6BE3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EE58D6">
      <w:rPr>
        <w:noProof/>
      </w:rPr>
      <w:t>4</w:t>
    </w:r>
    <w:r>
      <w:fldChar w:fldCharType="end"/>
    </w:r>
  </w:p>
  <w:p w14:paraId="7E9E34AE" w14:textId="77777777" w:rsidR="008A6BE3" w:rsidRDefault="008A6BE3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A3A5C" w14:textId="77777777" w:rsidR="008D61D2" w:rsidRDefault="008D61D2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EE58D6">
      <w:rPr>
        <w:noProof/>
      </w:rPr>
      <w:t>1</w:t>
    </w:r>
    <w:r>
      <w:fldChar w:fldCharType="end"/>
    </w:r>
  </w:p>
  <w:p w14:paraId="56EDA97F" w14:textId="77777777" w:rsidR="008D61D2" w:rsidRDefault="008D61D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15762" w14:textId="77777777" w:rsidR="00133BD1" w:rsidRDefault="00133BD1" w:rsidP="00DF305D">
      <w:pPr>
        <w:spacing w:line="240" w:lineRule="auto"/>
      </w:pPr>
      <w:r>
        <w:separator/>
      </w:r>
    </w:p>
  </w:footnote>
  <w:footnote w:type="continuationSeparator" w:id="0">
    <w:p w14:paraId="5D98F604" w14:textId="77777777" w:rsidR="00133BD1" w:rsidRDefault="00133BD1" w:rsidP="00DF305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723DF"/>
    <w:multiLevelType w:val="hybridMultilevel"/>
    <w:tmpl w:val="9C6A1F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666F50"/>
    <w:multiLevelType w:val="hybridMultilevel"/>
    <w:tmpl w:val="D17CFC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8AE0B0D"/>
    <w:multiLevelType w:val="hybridMultilevel"/>
    <w:tmpl w:val="225C7F2A"/>
    <w:lvl w:ilvl="0" w:tplc="0419000F">
      <w:start w:val="1"/>
      <w:numFmt w:val="decimal"/>
      <w:lvlText w:val="%1."/>
      <w:lvlJc w:val="left"/>
      <w:pPr>
        <w:ind w:left="148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3" w15:restartNumberingAfterBreak="0">
    <w:nsid w:val="1D8815B2"/>
    <w:multiLevelType w:val="hybridMultilevel"/>
    <w:tmpl w:val="EBEC70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0064196"/>
    <w:multiLevelType w:val="hybridMultilevel"/>
    <w:tmpl w:val="C7FA5570"/>
    <w:lvl w:ilvl="0" w:tplc="183613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2C9D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E087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5660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843D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08BF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B0CD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CEEB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DA9E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08C42D6"/>
    <w:multiLevelType w:val="hybridMultilevel"/>
    <w:tmpl w:val="1C040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61C85"/>
    <w:multiLevelType w:val="hybridMultilevel"/>
    <w:tmpl w:val="4F68B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22AEC"/>
    <w:multiLevelType w:val="hybridMultilevel"/>
    <w:tmpl w:val="999C7FB2"/>
    <w:lvl w:ilvl="0" w:tplc="71683B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A3161F"/>
    <w:multiLevelType w:val="hybridMultilevel"/>
    <w:tmpl w:val="BD563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EC5964"/>
    <w:multiLevelType w:val="hybridMultilevel"/>
    <w:tmpl w:val="D9E6D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EC7926"/>
    <w:multiLevelType w:val="hybridMultilevel"/>
    <w:tmpl w:val="8F625032"/>
    <w:lvl w:ilvl="0" w:tplc="5D642FD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4D212F76"/>
    <w:multiLevelType w:val="hybridMultilevel"/>
    <w:tmpl w:val="1C347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F56CE2"/>
    <w:multiLevelType w:val="hybridMultilevel"/>
    <w:tmpl w:val="E8965104"/>
    <w:lvl w:ilvl="0" w:tplc="71683BD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F077671"/>
    <w:multiLevelType w:val="hybridMultilevel"/>
    <w:tmpl w:val="D42E87A4"/>
    <w:lvl w:ilvl="0" w:tplc="04E62B18">
      <w:start w:val="1"/>
      <w:numFmt w:val="decimal"/>
      <w:lvlText w:val="%1."/>
      <w:lvlJc w:val="left"/>
      <w:pPr>
        <w:ind w:left="1211" w:hanging="360"/>
      </w:pPr>
      <w:rPr>
        <w:rFonts w:ascii="Calibri" w:eastAsia="Times New Roman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4" w15:restartNumberingAfterBreak="0">
    <w:nsid w:val="514D4D2C"/>
    <w:multiLevelType w:val="hybridMultilevel"/>
    <w:tmpl w:val="0736DE7C"/>
    <w:lvl w:ilvl="0" w:tplc="DABC0C6C">
      <w:start w:val="1"/>
      <w:numFmt w:val="decimal"/>
      <w:lvlText w:val="%1."/>
      <w:lvlJc w:val="left"/>
      <w:pPr>
        <w:ind w:left="1684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5591592D"/>
    <w:multiLevelType w:val="hybridMultilevel"/>
    <w:tmpl w:val="4EA22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005903"/>
    <w:multiLevelType w:val="hybridMultilevel"/>
    <w:tmpl w:val="4D9A9C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C9F695D"/>
    <w:multiLevelType w:val="hybridMultilevel"/>
    <w:tmpl w:val="17B85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E43FCF"/>
    <w:multiLevelType w:val="hybridMultilevel"/>
    <w:tmpl w:val="705A96B8"/>
    <w:lvl w:ilvl="0" w:tplc="66F659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A50836"/>
    <w:multiLevelType w:val="hybridMultilevel"/>
    <w:tmpl w:val="5504D7DA"/>
    <w:lvl w:ilvl="0" w:tplc="66F659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13"/>
  </w:num>
  <w:num w:numId="4">
    <w:abstractNumId w:val="1"/>
  </w:num>
  <w:num w:numId="5">
    <w:abstractNumId w:val="16"/>
  </w:num>
  <w:num w:numId="6">
    <w:abstractNumId w:val="4"/>
  </w:num>
  <w:num w:numId="7">
    <w:abstractNumId w:val="12"/>
  </w:num>
  <w:num w:numId="8">
    <w:abstractNumId w:val="7"/>
  </w:num>
  <w:num w:numId="9">
    <w:abstractNumId w:val="2"/>
  </w:num>
  <w:num w:numId="10">
    <w:abstractNumId w:val="0"/>
  </w:num>
  <w:num w:numId="11">
    <w:abstractNumId w:val="3"/>
  </w:num>
  <w:num w:numId="12">
    <w:abstractNumId w:val="15"/>
  </w:num>
  <w:num w:numId="13">
    <w:abstractNumId w:val="6"/>
  </w:num>
  <w:num w:numId="14">
    <w:abstractNumId w:val="17"/>
  </w:num>
  <w:num w:numId="15">
    <w:abstractNumId w:val="11"/>
  </w:num>
  <w:num w:numId="16">
    <w:abstractNumId w:val="8"/>
  </w:num>
  <w:num w:numId="17">
    <w:abstractNumId w:val="9"/>
  </w:num>
  <w:num w:numId="18">
    <w:abstractNumId w:val="5"/>
  </w:num>
  <w:num w:numId="19">
    <w:abstractNumId w:val="19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A31"/>
    <w:rsid w:val="00020C70"/>
    <w:rsid w:val="00030DDC"/>
    <w:rsid w:val="000320B9"/>
    <w:rsid w:val="00034DAB"/>
    <w:rsid w:val="000510FE"/>
    <w:rsid w:val="0005449D"/>
    <w:rsid w:val="00064DB0"/>
    <w:rsid w:val="000715C9"/>
    <w:rsid w:val="0008074C"/>
    <w:rsid w:val="00085BCB"/>
    <w:rsid w:val="000A6C72"/>
    <w:rsid w:val="000A7A31"/>
    <w:rsid w:val="000D05CD"/>
    <w:rsid w:val="000D3D86"/>
    <w:rsid w:val="000D4798"/>
    <w:rsid w:val="000E2131"/>
    <w:rsid w:val="00102B38"/>
    <w:rsid w:val="00123A78"/>
    <w:rsid w:val="001279C5"/>
    <w:rsid w:val="00127D3C"/>
    <w:rsid w:val="00133BD1"/>
    <w:rsid w:val="0014549F"/>
    <w:rsid w:val="0015605F"/>
    <w:rsid w:val="001576B1"/>
    <w:rsid w:val="00170135"/>
    <w:rsid w:val="00171857"/>
    <w:rsid w:val="001744FD"/>
    <w:rsid w:val="00177A61"/>
    <w:rsid w:val="00190124"/>
    <w:rsid w:val="001908E1"/>
    <w:rsid w:val="00194F18"/>
    <w:rsid w:val="001A6FFC"/>
    <w:rsid w:val="001B2296"/>
    <w:rsid w:val="001B285E"/>
    <w:rsid w:val="001B4AF1"/>
    <w:rsid w:val="001B6E3E"/>
    <w:rsid w:val="001E75CD"/>
    <w:rsid w:val="001E7F1C"/>
    <w:rsid w:val="001F0D2F"/>
    <w:rsid w:val="001F2E0C"/>
    <w:rsid w:val="001F3C9A"/>
    <w:rsid w:val="00207EEA"/>
    <w:rsid w:val="00214F35"/>
    <w:rsid w:val="002249D1"/>
    <w:rsid w:val="00225F0F"/>
    <w:rsid w:val="00230080"/>
    <w:rsid w:val="00241BAB"/>
    <w:rsid w:val="0024701F"/>
    <w:rsid w:val="00261444"/>
    <w:rsid w:val="00274FCA"/>
    <w:rsid w:val="00286639"/>
    <w:rsid w:val="002911D0"/>
    <w:rsid w:val="002A07CC"/>
    <w:rsid w:val="002A36C6"/>
    <w:rsid w:val="002A6399"/>
    <w:rsid w:val="002C2DD2"/>
    <w:rsid w:val="002C6B2E"/>
    <w:rsid w:val="002D5F23"/>
    <w:rsid w:val="002F675D"/>
    <w:rsid w:val="003031D1"/>
    <w:rsid w:val="0035019E"/>
    <w:rsid w:val="0035106A"/>
    <w:rsid w:val="003749F2"/>
    <w:rsid w:val="00381557"/>
    <w:rsid w:val="003841AF"/>
    <w:rsid w:val="003A0C51"/>
    <w:rsid w:val="003C0EA3"/>
    <w:rsid w:val="003D439A"/>
    <w:rsid w:val="003E13BC"/>
    <w:rsid w:val="003F289D"/>
    <w:rsid w:val="004121F0"/>
    <w:rsid w:val="004133DA"/>
    <w:rsid w:val="004263F0"/>
    <w:rsid w:val="00427E60"/>
    <w:rsid w:val="004339F8"/>
    <w:rsid w:val="00447976"/>
    <w:rsid w:val="00451A75"/>
    <w:rsid w:val="00466B34"/>
    <w:rsid w:val="00470521"/>
    <w:rsid w:val="00473AC5"/>
    <w:rsid w:val="00492D9D"/>
    <w:rsid w:val="004A0AF5"/>
    <w:rsid w:val="004B340A"/>
    <w:rsid w:val="004C5630"/>
    <w:rsid w:val="004D67A7"/>
    <w:rsid w:val="004D72A2"/>
    <w:rsid w:val="004F0572"/>
    <w:rsid w:val="004F597E"/>
    <w:rsid w:val="004F7442"/>
    <w:rsid w:val="00501302"/>
    <w:rsid w:val="005030F1"/>
    <w:rsid w:val="00503410"/>
    <w:rsid w:val="00513BA4"/>
    <w:rsid w:val="005320A2"/>
    <w:rsid w:val="00536C94"/>
    <w:rsid w:val="00541DAB"/>
    <w:rsid w:val="0056258F"/>
    <w:rsid w:val="00574C74"/>
    <w:rsid w:val="005952FA"/>
    <w:rsid w:val="005B0662"/>
    <w:rsid w:val="005C12B9"/>
    <w:rsid w:val="005C23D5"/>
    <w:rsid w:val="00600D88"/>
    <w:rsid w:val="006303CF"/>
    <w:rsid w:val="006365EF"/>
    <w:rsid w:val="006369B2"/>
    <w:rsid w:val="00641FE4"/>
    <w:rsid w:val="00646236"/>
    <w:rsid w:val="006525CE"/>
    <w:rsid w:val="00652BB3"/>
    <w:rsid w:val="006610C2"/>
    <w:rsid w:val="00681B60"/>
    <w:rsid w:val="00684FE8"/>
    <w:rsid w:val="00695877"/>
    <w:rsid w:val="0069623A"/>
    <w:rsid w:val="00697289"/>
    <w:rsid w:val="006B1DBE"/>
    <w:rsid w:val="006D309F"/>
    <w:rsid w:val="00733690"/>
    <w:rsid w:val="00734E59"/>
    <w:rsid w:val="00740130"/>
    <w:rsid w:val="00753346"/>
    <w:rsid w:val="00766F39"/>
    <w:rsid w:val="0079147B"/>
    <w:rsid w:val="007A02FF"/>
    <w:rsid w:val="007A32FA"/>
    <w:rsid w:val="007B0211"/>
    <w:rsid w:val="007B0501"/>
    <w:rsid w:val="007B4445"/>
    <w:rsid w:val="007E4A32"/>
    <w:rsid w:val="007F025E"/>
    <w:rsid w:val="00834792"/>
    <w:rsid w:val="008444D4"/>
    <w:rsid w:val="008448E2"/>
    <w:rsid w:val="00877F91"/>
    <w:rsid w:val="00881273"/>
    <w:rsid w:val="00883EF7"/>
    <w:rsid w:val="00885DEF"/>
    <w:rsid w:val="00891BE9"/>
    <w:rsid w:val="008A1D8D"/>
    <w:rsid w:val="008A6BE3"/>
    <w:rsid w:val="008C7421"/>
    <w:rsid w:val="008D4B00"/>
    <w:rsid w:val="008D61D2"/>
    <w:rsid w:val="008F021E"/>
    <w:rsid w:val="008F36DF"/>
    <w:rsid w:val="0090600E"/>
    <w:rsid w:val="0090675C"/>
    <w:rsid w:val="00910641"/>
    <w:rsid w:val="00911A66"/>
    <w:rsid w:val="00913FC2"/>
    <w:rsid w:val="00927F6F"/>
    <w:rsid w:val="00930567"/>
    <w:rsid w:val="00941559"/>
    <w:rsid w:val="00986817"/>
    <w:rsid w:val="0099020A"/>
    <w:rsid w:val="00994CE7"/>
    <w:rsid w:val="009A3C24"/>
    <w:rsid w:val="009B4F39"/>
    <w:rsid w:val="009C3E8A"/>
    <w:rsid w:val="009D2D23"/>
    <w:rsid w:val="009D4F9E"/>
    <w:rsid w:val="00A07EE7"/>
    <w:rsid w:val="00A2612B"/>
    <w:rsid w:val="00A27711"/>
    <w:rsid w:val="00A30330"/>
    <w:rsid w:val="00A3095A"/>
    <w:rsid w:val="00AA4F12"/>
    <w:rsid w:val="00AE5555"/>
    <w:rsid w:val="00B01E98"/>
    <w:rsid w:val="00B06960"/>
    <w:rsid w:val="00B1411A"/>
    <w:rsid w:val="00B14479"/>
    <w:rsid w:val="00B16DF8"/>
    <w:rsid w:val="00B30235"/>
    <w:rsid w:val="00B30EBD"/>
    <w:rsid w:val="00B31132"/>
    <w:rsid w:val="00B33BFC"/>
    <w:rsid w:val="00B4203F"/>
    <w:rsid w:val="00B50740"/>
    <w:rsid w:val="00B623C0"/>
    <w:rsid w:val="00B63EC7"/>
    <w:rsid w:val="00B80CAC"/>
    <w:rsid w:val="00B840F7"/>
    <w:rsid w:val="00B96491"/>
    <w:rsid w:val="00BA1E82"/>
    <w:rsid w:val="00BA362C"/>
    <w:rsid w:val="00BC0726"/>
    <w:rsid w:val="00BC2E35"/>
    <w:rsid w:val="00BC5F3F"/>
    <w:rsid w:val="00BD200E"/>
    <w:rsid w:val="00BE0DB2"/>
    <w:rsid w:val="00BF0D0D"/>
    <w:rsid w:val="00BF62D6"/>
    <w:rsid w:val="00C137ED"/>
    <w:rsid w:val="00C1770E"/>
    <w:rsid w:val="00C408EE"/>
    <w:rsid w:val="00C4189F"/>
    <w:rsid w:val="00C429B6"/>
    <w:rsid w:val="00C466D9"/>
    <w:rsid w:val="00C47EF1"/>
    <w:rsid w:val="00C5026E"/>
    <w:rsid w:val="00C55880"/>
    <w:rsid w:val="00C56BB8"/>
    <w:rsid w:val="00C67CDE"/>
    <w:rsid w:val="00C709BF"/>
    <w:rsid w:val="00C72CE1"/>
    <w:rsid w:val="00CA2D96"/>
    <w:rsid w:val="00CA75B1"/>
    <w:rsid w:val="00CA7FE8"/>
    <w:rsid w:val="00CB312B"/>
    <w:rsid w:val="00CC3E40"/>
    <w:rsid w:val="00CC4453"/>
    <w:rsid w:val="00CD1A1E"/>
    <w:rsid w:val="00CD3B92"/>
    <w:rsid w:val="00CE0251"/>
    <w:rsid w:val="00CF6518"/>
    <w:rsid w:val="00D02994"/>
    <w:rsid w:val="00D222F5"/>
    <w:rsid w:val="00D30AC6"/>
    <w:rsid w:val="00D35B50"/>
    <w:rsid w:val="00D46D66"/>
    <w:rsid w:val="00D47543"/>
    <w:rsid w:val="00D50B1E"/>
    <w:rsid w:val="00D63382"/>
    <w:rsid w:val="00D66BC5"/>
    <w:rsid w:val="00D67BDA"/>
    <w:rsid w:val="00D7011A"/>
    <w:rsid w:val="00D70F8D"/>
    <w:rsid w:val="00D94DC8"/>
    <w:rsid w:val="00D95BF6"/>
    <w:rsid w:val="00D961BD"/>
    <w:rsid w:val="00DA1E5B"/>
    <w:rsid w:val="00DB0254"/>
    <w:rsid w:val="00DB7A7A"/>
    <w:rsid w:val="00DD3606"/>
    <w:rsid w:val="00DD3861"/>
    <w:rsid w:val="00DE04BF"/>
    <w:rsid w:val="00DF305D"/>
    <w:rsid w:val="00E1737F"/>
    <w:rsid w:val="00E82634"/>
    <w:rsid w:val="00E8435B"/>
    <w:rsid w:val="00E95023"/>
    <w:rsid w:val="00EB3A01"/>
    <w:rsid w:val="00ED51BA"/>
    <w:rsid w:val="00EE3C3E"/>
    <w:rsid w:val="00EE3CE7"/>
    <w:rsid w:val="00EE58D6"/>
    <w:rsid w:val="00EF2B2C"/>
    <w:rsid w:val="00EF3562"/>
    <w:rsid w:val="00F024B9"/>
    <w:rsid w:val="00F17527"/>
    <w:rsid w:val="00F31131"/>
    <w:rsid w:val="00F46532"/>
    <w:rsid w:val="00F615DE"/>
    <w:rsid w:val="00F703EA"/>
    <w:rsid w:val="00F71743"/>
    <w:rsid w:val="00F72DE0"/>
    <w:rsid w:val="00F852A1"/>
    <w:rsid w:val="00F91286"/>
    <w:rsid w:val="00F93E1A"/>
    <w:rsid w:val="00FA585C"/>
    <w:rsid w:val="00FB7917"/>
    <w:rsid w:val="00FD18ED"/>
    <w:rsid w:val="00FD1EF8"/>
    <w:rsid w:val="00FD3596"/>
    <w:rsid w:val="00FD6C10"/>
    <w:rsid w:val="00FE3EA1"/>
    <w:rsid w:val="00FE4895"/>
    <w:rsid w:val="00FE6245"/>
    <w:rsid w:val="00FF1697"/>
    <w:rsid w:val="00FF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8F2A77"/>
  <w15:docId w15:val="{5F74CD05-209C-403B-A207-F7C6E7B0C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A31"/>
    <w:pPr>
      <w:spacing w:line="276" w:lineRule="auto"/>
      <w:ind w:firstLine="709"/>
      <w:jc w:val="both"/>
    </w:pPr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"/>
    <w:qFormat/>
    <w:locked/>
    <w:rsid w:val="0024701F"/>
    <w:pPr>
      <w:spacing w:before="100" w:beforeAutospacing="1" w:after="100" w:afterAutospacing="1" w:line="240" w:lineRule="auto"/>
      <w:ind w:firstLine="0"/>
      <w:jc w:val="left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locked/>
    <w:rsid w:val="00DE04BF"/>
    <w:pPr>
      <w:keepNext/>
      <w:keepLines/>
      <w:spacing w:before="40"/>
      <w:outlineLvl w:val="2"/>
    </w:pPr>
    <w:rPr>
      <w:rFonts w:ascii="Cambria" w:hAnsi="Cambria"/>
      <w:color w:val="243F60"/>
    </w:rPr>
  </w:style>
  <w:style w:type="paragraph" w:styleId="4">
    <w:name w:val="heading 4"/>
    <w:basedOn w:val="a"/>
    <w:next w:val="a"/>
    <w:link w:val="40"/>
    <w:unhideWhenUsed/>
    <w:qFormat/>
    <w:locked/>
    <w:rsid w:val="006365EF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31D1"/>
    <w:pPr>
      <w:ind w:left="720"/>
      <w:contextualSpacing/>
    </w:pPr>
  </w:style>
  <w:style w:type="character" w:styleId="a4">
    <w:name w:val="Hyperlink"/>
    <w:uiPriority w:val="99"/>
    <w:rsid w:val="006369B2"/>
    <w:rPr>
      <w:rFonts w:cs="Times New Roman"/>
      <w:color w:val="0000FF"/>
      <w:u w:val="single"/>
    </w:rPr>
  </w:style>
  <w:style w:type="table" w:styleId="a5">
    <w:name w:val="Table Grid"/>
    <w:basedOn w:val="a1"/>
    <w:uiPriority w:val="39"/>
    <w:rsid w:val="005013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B16DF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a6">
    <w:name w:val="Balloon Text"/>
    <w:basedOn w:val="a"/>
    <w:link w:val="a7"/>
    <w:uiPriority w:val="99"/>
    <w:semiHidden/>
    <w:rsid w:val="00BC2E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BC2E35"/>
    <w:rPr>
      <w:rFonts w:ascii="Tahoma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uiPriority w:val="9"/>
    <w:rsid w:val="0024701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1">
    <w:name w:val="Неразрешенное упоминание1"/>
    <w:uiPriority w:val="99"/>
    <w:semiHidden/>
    <w:unhideWhenUsed/>
    <w:rsid w:val="00274FCA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DF305D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link w:val="a8"/>
    <w:uiPriority w:val="99"/>
    <w:rsid w:val="00DF305D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DF305D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link w:val="aa"/>
    <w:uiPriority w:val="99"/>
    <w:rsid w:val="00DF305D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link w:val="3"/>
    <w:rsid w:val="00DE04BF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jlqj4b">
    <w:name w:val="jlqj4b"/>
    <w:rsid w:val="00286639"/>
  </w:style>
  <w:style w:type="paragraph" w:styleId="ac">
    <w:name w:val="No Spacing"/>
    <w:uiPriority w:val="1"/>
    <w:qFormat/>
    <w:rsid w:val="00286639"/>
    <w:rPr>
      <w:rFonts w:ascii="Times New Roman" w:eastAsia="Times New Roman" w:hAnsi="Times New Roman"/>
      <w:sz w:val="24"/>
      <w:szCs w:val="24"/>
    </w:rPr>
  </w:style>
  <w:style w:type="paragraph" w:styleId="ad">
    <w:name w:val="Title"/>
    <w:basedOn w:val="a"/>
    <w:next w:val="a"/>
    <w:link w:val="ae"/>
    <w:qFormat/>
    <w:locked/>
    <w:rsid w:val="00DA1E5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rsid w:val="00DA1E5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40">
    <w:name w:val="Заголовок 4 Знак"/>
    <w:link w:val="4"/>
    <w:rsid w:val="006365E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styleId="af">
    <w:name w:val="annotation reference"/>
    <w:uiPriority w:val="99"/>
    <w:semiHidden/>
    <w:unhideWhenUsed/>
    <w:rsid w:val="00085BC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085BC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rsid w:val="00085BCB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1287</Words>
  <Characters>7338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ТЕХНИЧЕСКИЙ КОМИТЕТ ПО СТАНДАРТИЗАЦИИ 29</vt:lpstr>
    </vt:vector>
  </TitlesOfParts>
  <Company>Microsoft</Company>
  <LinksUpToDate>false</LinksUpToDate>
  <CharactersWithSpaces>8608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ТЕХНИЧЕСКИЙ КОМИТЕТ ПО СТАНДАРТИЗАЦИИ 29</dc:title>
  <dc:subject/>
  <dc:creator>R.Khartunova</dc:creator>
  <cp:keywords/>
  <cp:lastModifiedBy>selezneva</cp:lastModifiedBy>
  <cp:revision>2</cp:revision>
  <cp:lastPrinted>2023-09-18T13:42:00Z</cp:lastPrinted>
  <dcterms:created xsi:type="dcterms:W3CDTF">2026-03-26T09:03:00Z</dcterms:created>
  <dcterms:modified xsi:type="dcterms:W3CDTF">2026-03-26T09:03:00Z</dcterms:modified>
</cp:coreProperties>
</file>