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3CB6F2F6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F8036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4456458C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27404411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1939ECF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47A8C211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678003F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3525C326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04BC522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3029D17B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4F562437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36B8253A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5178F457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28429861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0162CF" w:rsidRPr="000162CF">
        <w:rPr>
          <w:b/>
          <w:sz w:val="28"/>
          <w:szCs w:val="28"/>
        </w:rPr>
        <w:t xml:space="preserve">Единая система конструкторской документации. </w:t>
      </w:r>
      <w:r w:rsidR="000162CF">
        <w:rPr>
          <w:b/>
          <w:sz w:val="28"/>
          <w:szCs w:val="28"/>
        </w:rPr>
        <w:br/>
      </w:r>
      <w:r w:rsidR="000162CF" w:rsidRPr="000162CF">
        <w:rPr>
          <w:b/>
          <w:sz w:val="28"/>
          <w:szCs w:val="28"/>
        </w:rPr>
        <w:t>Указания о маркировании и клеймении изделий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1DDC94DC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32478AAC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7D9FBEA6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7461E229" w14:textId="77777777" w:rsidR="00085BCB" w:rsidRDefault="00FF4361" w:rsidP="00085BCB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0162CF" w:rsidRPr="00837459">
        <w:rPr>
          <w:sz w:val="28"/>
          <w:szCs w:val="28"/>
        </w:rPr>
        <w:t>Единая система конструкторской документации. Указания о маркировании и клеймении изделий</w:t>
      </w:r>
      <w:r w:rsidR="00034DAB" w:rsidRPr="00034DAB">
        <w:rPr>
          <w:sz w:val="28"/>
          <w:szCs w:val="28"/>
        </w:rPr>
        <w:t xml:space="preserve">» </w:t>
      </w:r>
      <w:r w:rsidR="00EE58D6" w:rsidRPr="00EE58D6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</w:t>
      </w:r>
      <w:r w:rsidR="00085BCB">
        <w:rPr>
          <w:rFonts w:eastAsia="Calibri"/>
          <w:sz w:val="28"/>
          <w:szCs w:val="28"/>
        </w:rPr>
        <w:t xml:space="preserve">2023 – </w:t>
      </w:r>
      <w:r w:rsidR="00034DAB" w:rsidRPr="00034DAB">
        <w:rPr>
          <w:rFonts w:eastAsia="Calibri"/>
          <w:sz w:val="28"/>
          <w:szCs w:val="28"/>
        </w:rPr>
        <w:t>202</w:t>
      </w:r>
      <w:r w:rsidR="00085BCB">
        <w:rPr>
          <w:rFonts w:eastAsia="Calibri"/>
          <w:sz w:val="28"/>
          <w:szCs w:val="28"/>
        </w:rPr>
        <w:t>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085BCB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 xml:space="preserve">. (шифр темы </w:t>
      </w:r>
      <w:r w:rsidR="000162CF" w:rsidRPr="000162CF">
        <w:rPr>
          <w:color w:val="000000"/>
          <w:sz w:val="28"/>
          <w:szCs w:val="28"/>
        </w:rPr>
        <w:t>1.0.482-1.074.23</w:t>
      </w:r>
      <w:r w:rsidR="00034DAB" w:rsidRPr="00034DAB">
        <w:rPr>
          <w:rFonts w:eastAsia="Calibri"/>
          <w:sz w:val="28"/>
          <w:szCs w:val="28"/>
        </w:rPr>
        <w:t xml:space="preserve">) </w:t>
      </w:r>
      <w:bookmarkStart w:id="0" w:name="_Hlk224721032"/>
      <w:r w:rsidR="00085BCB" w:rsidRPr="00097096">
        <w:rPr>
          <w:sz w:val="28"/>
          <w:szCs w:val="28"/>
        </w:rPr>
        <w:t>и договора 25209.442019.06.002/ЦСИСОП/09дсп от 2 сентября 2025 (идентификатор государственного контракта 1770559633925Z000511).</w:t>
      </w:r>
      <w:bookmarkEnd w:id="0"/>
    </w:p>
    <w:p w14:paraId="6A2E2279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</w:t>
      </w:r>
      <w:r w:rsidR="00622C87">
        <w:rPr>
          <w:sz w:val="28"/>
          <w:szCs w:val="28"/>
        </w:rPr>
        <w:t> </w:t>
      </w:r>
      <w:r w:rsidRPr="008F36DF">
        <w:rPr>
          <w:sz w:val="28"/>
          <w:szCs w:val="28"/>
        </w:rPr>
        <w:t>Р</w:t>
      </w:r>
      <w:r w:rsidR="00622C87">
        <w:rPr>
          <w:sz w:val="28"/>
          <w:szCs w:val="28"/>
        </w:rPr>
        <w:t> </w:t>
      </w:r>
      <w:r w:rsidR="00927F6F">
        <w:rPr>
          <w:sz w:val="28"/>
          <w:szCs w:val="28"/>
        </w:rPr>
        <w:t>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06ED653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5C516A24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3A61BB86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5263D25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5A89BC42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607EFB">
        <w:rPr>
          <w:sz w:val="28"/>
          <w:szCs w:val="28"/>
        </w:rPr>
        <w:t>, касающихся рассматриваемого в стандарте аспекта</w:t>
      </w:r>
      <w:r w:rsidRPr="008F36DF">
        <w:rPr>
          <w:sz w:val="28"/>
          <w:szCs w:val="28"/>
        </w:rPr>
        <w:t>.</w:t>
      </w:r>
    </w:p>
    <w:p w14:paraId="7108099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5C64C8F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217F516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2C61A3F2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38DB4D1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502A0EFA" w14:textId="77777777" w:rsidR="000162CF" w:rsidRPr="000162CF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t>Объектом стандартизации является конструкторская документация.</w:t>
      </w:r>
    </w:p>
    <w:p w14:paraId="788D648F" w14:textId="77777777" w:rsidR="000162CF" w:rsidRPr="000162CF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t xml:space="preserve">Аспектом стандартизации являются правила выполнения указаний о маркировании и клеймении изделий на чертежах и в электронных геометрических моделях изделий машиностроения всех отраслей промышленности. </w:t>
      </w:r>
    </w:p>
    <w:p w14:paraId="6357B6B0" w14:textId="77777777" w:rsidR="00085BCB" w:rsidRDefault="00085BCB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стандарте</w:t>
      </w:r>
      <w:r w:rsidRPr="00085BCB">
        <w:rPr>
          <w:sz w:val="28"/>
          <w:szCs w:val="28"/>
        </w:rPr>
        <w:t xml:space="preserve">: </w:t>
      </w:r>
    </w:p>
    <w:p w14:paraId="370857C7" w14:textId="77777777" w:rsidR="000162CF" w:rsidRPr="000162CF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lastRenderedPageBreak/>
        <w:t>- устан</w:t>
      </w:r>
      <w:r>
        <w:rPr>
          <w:sz w:val="28"/>
          <w:szCs w:val="28"/>
        </w:rPr>
        <w:t>овлены</w:t>
      </w:r>
      <w:r w:rsidRPr="000162CF">
        <w:rPr>
          <w:sz w:val="28"/>
          <w:szCs w:val="28"/>
        </w:rPr>
        <w:t xml:space="preserve"> правила выполнения указаний о клеймении на чертежах и в электронных геометрических моделях (с учетом требований ГОСТ Р 2.052-2024);</w:t>
      </w:r>
    </w:p>
    <w:p w14:paraId="561C3EF7" w14:textId="77777777" w:rsidR="000162CF" w:rsidRPr="000162CF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t xml:space="preserve">- </w:t>
      </w:r>
      <w:r>
        <w:rPr>
          <w:sz w:val="28"/>
          <w:szCs w:val="28"/>
        </w:rPr>
        <w:t>введены</w:t>
      </w:r>
      <w:r w:rsidRPr="000162CF">
        <w:rPr>
          <w:sz w:val="28"/>
          <w:szCs w:val="28"/>
        </w:rPr>
        <w:t xml:space="preserve"> новые способы маркирования и клеймения и буквенные обозначения для них (приложение А);</w:t>
      </w:r>
    </w:p>
    <w:p w14:paraId="14A8631F" w14:textId="77777777" w:rsidR="000162CF" w:rsidRPr="000162CF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t>- уч</w:t>
      </w:r>
      <w:r>
        <w:rPr>
          <w:sz w:val="28"/>
          <w:szCs w:val="28"/>
        </w:rPr>
        <w:t>тена</w:t>
      </w:r>
      <w:r w:rsidRPr="000162CF">
        <w:rPr>
          <w:sz w:val="28"/>
          <w:szCs w:val="28"/>
        </w:rPr>
        <w:t xml:space="preserve"> возможность выполнения </w:t>
      </w:r>
      <w:proofErr w:type="spellStart"/>
      <w:r w:rsidRPr="000162CF">
        <w:rPr>
          <w:sz w:val="28"/>
          <w:szCs w:val="28"/>
        </w:rPr>
        <w:t>машиносчитываемой</w:t>
      </w:r>
      <w:proofErr w:type="spellEnd"/>
      <w:r w:rsidRPr="000162CF">
        <w:rPr>
          <w:sz w:val="28"/>
          <w:szCs w:val="28"/>
        </w:rPr>
        <w:t xml:space="preserve"> маркировки;</w:t>
      </w:r>
    </w:p>
    <w:p w14:paraId="1AEF6A7D" w14:textId="77777777" w:rsidR="00CD7F45" w:rsidRDefault="000162CF" w:rsidP="000162CF">
      <w:pPr>
        <w:spacing w:line="360" w:lineRule="auto"/>
        <w:ind w:firstLine="708"/>
        <w:rPr>
          <w:sz w:val="28"/>
          <w:szCs w:val="28"/>
        </w:rPr>
      </w:pPr>
      <w:r w:rsidRPr="000162CF">
        <w:rPr>
          <w:sz w:val="28"/>
          <w:szCs w:val="28"/>
        </w:rPr>
        <w:t>- уточн</w:t>
      </w:r>
      <w:r>
        <w:rPr>
          <w:sz w:val="28"/>
          <w:szCs w:val="28"/>
        </w:rPr>
        <w:t>ены</w:t>
      </w:r>
      <w:r w:rsidRPr="000162CF">
        <w:rPr>
          <w:sz w:val="28"/>
          <w:szCs w:val="28"/>
        </w:rPr>
        <w:t xml:space="preserve"> нормативные ссылки.</w:t>
      </w:r>
    </w:p>
    <w:p w14:paraId="6DD50929" w14:textId="77777777" w:rsidR="00CA75B1" w:rsidRPr="008F36DF" w:rsidRDefault="00CD7F45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CD7F45">
        <w:rPr>
          <w:sz w:val="28"/>
          <w:szCs w:val="28"/>
        </w:rPr>
        <w:t xml:space="preserve">Настоящий стандарт разрабатывается на основе межгосударственного стандарта </w:t>
      </w:r>
      <w:r w:rsidR="000162CF" w:rsidRPr="000162CF">
        <w:rPr>
          <w:sz w:val="28"/>
          <w:szCs w:val="28"/>
        </w:rPr>
        <w:t>ГОСТ 2.314–68</w:t>
      </w:r>
      <w:r w:rsidRPr="00CD7F45">
        <w:rPr>
          <w:sz w:val="28"/>
          <w:szCs w:val="28"/>
        </w:rPr>
        <w:t>.</w:t>
      </w:r>
    </w:p>
    <w:p w14:paraId="20CD5C3D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01584AD5" w14:textId="77777777" w:rsidR="00607EFB" w:rsidRPr="00607EFB" w:rsidRDefault="00607EFB" w:rsidP="00607EFB">
      <w:pPr>
        <w:spacing w:line="360" w:lineRule="auto"/>
        <w:ind w:firstLine="708"/>
        <w:rPr>
          <w:sz w:val="28"/>
          <w:szCs w:val="28"/>
        </w:rPr>
      </w:pPr>
      <w:r w:rsidRPr="00607EFB">
        <w:rPr>
          <w:sz w:val="28"/>
          <w:szCs w:val="28"/>
        </w:rPr>
        <w:t>В ходе рассмотрения первой редакции проекта ГОСТ Р поступили отзывы от 66 организаций. В отзывах 27 организаций замечания и предложения отсутствуют.</w:t>
      </w:r>
    </w:p>
    <w:p w14:paraId="333B8979" w14:textId="77777777" w:rsidR="00607EFB" w:rsidRPr="00607EFB" w:rsidRDefault="00607EFB" w:rsidP="00607EFB">
      <w:pPr>
        <w:spacing w:line="360" w:lineRule="auto"/>
        <w:ind w:firstLine="708"/>
        <w:rPr>
          <w:sz w:val="28"/>
          <w:szCs w:val="28"/>
        </w:rPr>
      </w:pPr>
      <w:r w:rsidRPr="00607EFB">
        <w:rPr>
          <w:sz w:val="28"/>
          <w:szCs w:val="28"/>
        </w:rPr>
        <w:t>Замечания и предложения поступили от 39 организаций: АО «Адмиралтейские верфи», АО «Вертолеты России», АО «КБП», АО «Композит», АО «Концерн «Созвездие», АО «Концерн ВКО «Алмаз-Антей», АО «Концерн НПО «Аврора», АО «НИПТБ «Онега», АО «НПК «КБМ», АО «НПО «Высокоточные комплексы», АО «НПО «Квант», АО «НПО «Электромашина», АО «НЦВ Миль и Камов», АО «ПО «Севмаш», АО «Российские космические системы», АО «Северо-западный региональный центр Концерна ВКО «Алмаз-Антей» - Обуховский завод», АО «Системы управления», АО «СПМБМ «Малахит», АО «УКБТМ», АО «ЦКБ «Коралл», АО «ЦКБ МТ «Рубин», АО «</w:t>
      </w:r>
      <w:proofErr w:type="spellStart"/>
      <w:r w:rsidRPr="00607EFB">
        <w:rPr>
          <w:sz w:val="28"/>
          <w:szCs w:val="28"/>
        </w:rPr>
        <w:t>ЦНИИмаш</w:t>
      </w:r>
      <w:proofErr w:type="spellEnd"/>
      <w:r w:rsidRPr="00607EFB">
        <w:rPr>
          <w:sz w:val="28"/>
          <w:szCs w:val="28"/>
        </w:rPr>
        <w:t>», АО «ЦНИИТОЧМАШ», Ассоциация «Объединение производителей железнодорожной техники», В/ч 31800 Министерства обороны РФ, Госкорпорация «Росатом», Группа «ТМХ», НИЦ «Курчатовский институт», ОКБ Сухого, ООО «КСК», ПАО «Амурский судостроительный завод», ПАО «ОАК», ПАО «ОДК-УМПО», ПАО «Яковлев», ПКТИ «</w:t>
      </w:r>
      <w:proofErr w:type="spellStart"/>
      <w:r w:rsidRPr="00607EFB">
        <w:rPr>
          <w:sz w:val="28"/>
          <w:szCs w:val="28"/>
        </w:rPr>
        <w:t>Атомармпроект</w:t>
      </w:r>
      <w:proofErr w:type="spellEnd"/>
      <w:r w:rsidRPr="00607EFB">
        <w:rPr>
          <w:sz w:val="28"/>
          <w:szCs w:val="28"/>
        </w:rPr>
        <w:t xml:space="preserve">», Союз «Объединение вагоностроителей», ФГБУ «21 Научно-исследовательский испытательный </w:t>
      </w:r>
      <w:r w:rsidRPr="00607EFB">
        <w:rPr>
          <w:sz w:val="28"/>
          <w:szCs w:val="28"/>
        </w:rPr>
        <w:lastRenderedPageBreak/>
        <w:t>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0E15B45D" w14:textId="77777777" w:rsidR="00607EFB" w:rsidRDefault="00607EFB" w:rsidP="00607EFB">
      <w:pPr>
        <w:spacing w:line="360" w:lineRule="auto"/>
        <w:ind w:firstLine="708"/>
        <w:rPr>
          <w:sz w:val="28"/>
          <w:szCs w:val="28"/>
        </w:rPr>
      </w:pPr>
      <w:r w:rsidRPr="00607EFB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116 полученных замечаний: принято – 68, принято частично – 7, принято к сведению – 16. Отклонено – 25.</w:t>
      </w:r>
    </w:p>
    <w:p w14:paraId="71B504C0" w14:textId="77777777" w:rsidR="00574C74" w:rsidRDefault="00607EFB" w:rsidP="00607EFB">
      <w:pPr>
        <w:spacing w:line="360" w:lineRule="auto"/>
        <w:ind w:firstLine="708"/>
        <w:rPr>
          <w:sz w:val="28"/>
          <w:szCs w:val="28"/>
        </w:rPr>
      </w:pPr>
      <w:r w:rsidRPr="00607EFB">
        <w:rPr>
          <w:sz w:val="28"/>
          <w:szCs w:val="28"/>
        </w:rPr>
        <w:t>Проект стандарта существенно доработан по замечаниям АО «</w:t>
      </w:r>
      <w:proofErr w:type="spellStart"/>
      <w:r w:rsidRPr="00607EFB">
        <w:rPr>
          <w:sz w:val="28"/>
          <w:szCs w:val="28"/>
        </w:rPr>
        <w:t>ЦНИИмаш</w:t>
      </w:r>
      <w:proofErr w:type="spellEnd"/>
      <w:r w:rsidRPr="00607EFB">
        <w:rPr>
          <w:sz w:val="28"/>
          <w:szCs w:val="28"/>
        </w:rPr>
        <w:t>», Госкорпорация «Росатом», ПАО «Туполев»,  АО «КБП», АО «Концерн ВКО «Алмаз-Антей», АО «НПК «КБМ», ПАО «ОДК-УМПО», Группа «ТМХ», АО «Туполев», ПАО «Яковлев» и других. В окончательной редакции уточнена терминология, переработаны основные положения, уточнены требования к маркированию и клеймению с учетом применения САПР.</w:t>
      </w:r>
    </w:p>
    <w:p w14:paraId="48841B58" w14:textId="77777777" w:rsidR="00D46D66" w:rsidRDefault="00214F35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>Окончательная редакция проекта стандарта рассмотрена членами ТК</w:t>
      </w:r>
      <w:r w:rsidR="00622C87">
        <w:rPr>
          <w:sz w:val="28"/>
          <w:szCs w:val="28"/>
        </w:rPr>
        <w:t> </w:t>
      </w:r>
      <w:r w:rsidRPr="0090600E">
        <w:rPr>
          <w:sz w:val="28"/>
          <w:szCs w:val="28"/>
        </w:rPr>
        <w:t xml:space="preserve">482 «Поддержка жизненного цикла продукции», в результате чего поступили замечания и предложения от </w:t>
      </w:r>
      <w:r w:rsidR="00607EFB">
        <w:rPr>
          <w:sz w:val="28"/>
          <w:szCs w:val="28"/>
        </w:rPr>
        <w:t>1</w:t>
      </w:r>
      <w:r w:rsidR="00607EFB" w:rsidRPr="00607EFB">
        <w:rPr>
          <w:sz w:val="28"/>
          <w:szCs w:val="28"/>
        </w:rPr>
        <w:t>0</w:t>
      </w:r>
      <w:r w:rsidRPr="00607EFB">
        <w:rPr>
          <w:sz w:val="28"/>
          <w:szCs w:val="28"/>
        </w:rPr>
        <w:t xml:space="preserve"> организаций: </w:t>
      </w:r>
      <w:r w:rsidR="000211C0" w:rsidRPr="00607EFB">
        <w:rPr>
          <w:sz w:val="28"/>
          <w:szCs w:val="28"/>
        </w:rPr>
        <w:t>АО «</w:t>
      </w:r>
      <w:proofErr w:type="spellStart"/>
      <w:r w:rsidR="000211C0" w:rsidRPr="00607EFB">
        <w:rPr>
          <w:sz w:val="28"/>
          <w:szCs w:val="28"/>
        </w:rPr>
        <w:t>Желдорреммаш</w:t>
      </w:r>
      <w:proofErr w:type="spellEnd"/>
      <w:r w:rsidR="000211C0" w:rsidRPr="00607EFB">
        <w:rPr>
          <w:sz w:val="28"/>
          <w:szCs w:val="28"/>
        </w:rPr>
        <w:t>», АО «КБП», АО «Коломенский завод», АО «НПО «Высокоточные комплексы», АО «</w:t>
      </w:r>
      <w:proofErr w:type="spellStart"/>
      <w:r w:rsidR="000211C0" w:rsidRPr="00607EFB">
        <w:rPr>
          <w:sz w:val="28"/>
          <w:szCs w:val="28"/>
        </w:rPr>
        <w:t>ЦНИИмаш</w:t>
      </w:r>
      <w:proofErr w:type="spellEnd"/>
      <w:r w:rsidR="000211C0" w:rsidRPr="00607EFB">
        <w:rPr>
          <w:sz w:val="28"/>
          <w:szCs w:val="28"/>
        </w:rPr>
        <w:t xml:space="preserve">», ООО «ВНИЦТТ», </w:t>
      </w:r>
      <w:r w:rsidR="00607EFB" w:rsidRPr="00607EFB">
        <w:rPr>
          <w:sz w:val="28"/>
          <w:szCs w:val="28"/>
        </w:rPr>
        <w:t xml:space="preserve">АО «ТМХ», </w:t>
      </w:r>
      <w:r w:rsidR="000211C0" w:rsidRPr="00607EFB">
        <w:rPr>
          <w:sz w:val="28"/>
          <w:szCs w:val="28"/>
        </w:rPr>
        <w:t>ООО «ИЦД ТМХ», ООО «УКБВ», Союз «Объединение вагоностроителей»</w:t>
      </w:r>
      <w:r w:rsidR="0090600E" w:rsidRPr="0090600E">
        <w:rPr>
          <w:sz w:val="28"/>
          <w:szCs w:val="28"/>
        </w:rPr>
        <w:t>.</w:t>
      </w:r>
      <w:r w:rsidR="0090600E">
        <w:rPr>
          <w:sz w:val="28"/>
          <w:szCs w:val="28"/>
        </w:rPr>
        <w:t xml:space="preserve"> </w:t>
      </w:r>
      <w:r w:rsidR="00D46D66" w:rsidRPr="0090600E">
        <w:rPr>
          <w:sz w:val="28"/>
          <w:szCs w:val="28"/>
        </w:rPr>
        <w:t xml:space="preserve">В отзывах </w:t>
      </w:r>
      <w:r w:rsidR="000211C0">
        <w:rPr>
          <w:sz w:val="28"/>
          <w:szCs w:val="28"/>
        </w:rPr>
        <w:t>24</w:t>
      </w:r>
      <w:r w:rsidR="00D46D66" w:rsidRPr="0090600E">
        <w:rPr>
          <w:sz w:val="28"/>
          <w:szCs w:val="28"/>
        </w:rPr>
        <w:t xml:space="preserve"> организаций замечания и предложения отсутствуют.</w:t>
      </w:r>
    </w:p>
    <w:p w14:paraId="0F19DC42" w14:textId="77777777" w:rsidR="00214F35" w:rsidRPr="005C23D5" w:rsidRDefault="0090600E" w:rsidP="00214F35">
      <w:pPr>
        <w:spacing w:line="360" w:lineRule="auto"/>
        <w:rPr>
          <w:sz w:val="28"/>
          <w:szCs w:val="28"/>
          <w:highlight w:val="yellow"/>
        </w:rPr>
      </w:pPr>
      <w:r w:rsidRPr="0090600E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607EFB">
        <w:rPr>
          <w:sz w:val="28"/>
          <w:szCs w:val="28"/>
        </w:rPr>
        <w:t>2</w:t>
      </w:r>
      <w:r w:rsidR="00024097">
        <w:rPr>
          <w:sz w:val="28"/>
          <w:szCs w:val="28"/>
        </w:rPr>
        <w:t>1</w:t>
      </w:r>
      <w:r w:rsidRPr="0090600E">
        <w:rPr>
          <w:sz w:val="28"/>
          <w:szCs w:val="28"/>
        </w:rPr>
        <w:t xml:space="preserve"> полученн</w:t>
      </w:r>
      <w:r w:rsidR="00024097">
        <w:rPr>
          <w:sz w:val="28"/>
          <w:szCs w:val="28"/>
        </w:rPr>
        <w:t>ого</w:t>
      </w:r>
      <w:r w:rsidRPr="0090600E">
        <w:rPr>
          <w:sz w:val="28"/>
          <w:szCs w:val="28"/>
        </w:rPr>
        <w:t xml:space="preserve"> замечани</w:t>
      </w:r>
      <w:r w:rsidR="00024097">
        <w:rPr>
          <w:sz w:val="28"/>
          <w:szCs w:val="28"/>
        </w:rPr>
        <w:t>я</w:t>
      </w:r>
      <w:r w:rsidRPr="0090600E">
        <w:rPr>
          <w:sz w:val="28"/>
          <w:szCs w:val="28"/>
        </w:rPr>
        <w:t xml:space="preserve">: принято – </w:t>
      </w:r>
      <w:r w:rsidR="00607EFB">
        <w:rPr>
          <w:sz w:val="28"/>
          <w:szCs w:val="28"/>
        </w:rPr>
        <w:t>10</w:t>
      </w:r>
      <w:r w:rsidRPr="0090600E">
        <w:rPr>
          <w:sz w:val="28"/>
          <w:szCs w:val="28"/>
        </w:rPr>
        <w:t xml:space="preserve">, принято частично – </w:t>
      </w:r>
      <w:r w:rsidR="00607EFB">
        <w:rPr>
          <w:sz w:val="28"/>
          <w:szCs w:val="28"/>
        </w:rPr>
        <w:t>5</w:t>
      </w:r>
      <w:r w:rsidRPr="0090600E">
        <w:rPr>
          <w:sz w:val="28"/>
          <w:szCs w:val="28"/>
        </w:rPr>
        <w:t xml:space="preserve">, принято к сведению – </w:t>
      </w:r>
      <w:r w:rsidR="00607EFB">
        <w:rPr>
          <w:sz w:val="28"/>
          <w:szCs w:val="28"/>
        </w:rPr>
        <w:t>5</w:t>
      </w:r>
      <w:r w:rsidRPr="0090600E">
        <w:rPr>
          <w:sz w:val="28"/>
          <w:szCs w:val="28"/>
        </w:rPr>
        <w:t xml:space="preserve">. Отклонено – </w:t>
      </w:r>
      <w:r w:rsidR="00607EFB">
        <w:rPr>
          <w:sz w:val="28"/>
          <w:szCs w:val="28"/>
        </w:rPr>
        <w:t>1</w:t>
      </w:r>
      <w:r w:rsidRPr="009060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2388EB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6448A15F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На основании статьи 24 Федерального закона от 29 июня 2015 г. №</w:t>
      </w:r>
      <w:r w:rsidR="00E54FB0">
        <w:rPr>
          <w:sz w:val="28"/>
          <w:szCs w:val="28"/>
        </w:rPr>
        <w:t> </w:t>
      </w:r>
      <w:r w:rsidRPr="008F36DF">
        <w:rPr>
          <w:sz w:val="28"/>
          <w:szCs w:val="28"/>
        </w:rPr>
        <w:t xml:space="preserve">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0211C0" w:rsidRPr="00837459">
        <w:rPr>
          <w:sz w:val="28"/>
          <w:szCs w:val="28"/>
        </w:rPr>
        <w:t>Единая система конструкторской документации. Указания о маркировании и клеймении изделий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E54FB0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5C23D5">
        <w:rPr>
          <w:sz w:val="28"/>
          <w:szCs w:val="28"/>
        </w:rPr>
        <w:t>3 – 2026</w:t>
      </w:r>
      <w:r w:rsidR="003D439A" w:rsidRPr="003D439A">
        <w:rPr>
          <w:sz w:val="28"/>
          <w:szCs w:val="28"/>
        </w:rPr>
        <w:t xml:space="preserve"> г</w:t>
      </w:r>
      <w:r w:rsidR="005C23D5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 xml:space="preserve">. (шифр темы </w:t>
      </w:r>
      <w:r w:rsidR="000211C0" w:rsidRPr="000162CF">
        <w:rPr>
          <w:color w:val="000000"/>
          <w:sz w:val="28"/>
          <w:szCs w:val="28"/>
        </w:rPr>
        <w:t>1.0.482-1.074.23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5C23D5">
        <w:rPr>
          <w:sz w:val="28"/>
          <w:szCs w:val="28"/>
          <w:highlight w:val="cyan"/>
        </w:rPr>
        <w:t>октября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5163990B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74F32B89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2FDA203B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5E133BD7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4DA2" w14:textId="77777777" w:rsidR="0079705F" w:rsidRDefault="0079705F" w:rsidP="00DF305D">
      <w:pPr>
        <w:spacing w:line="240" w:lineRule="auto"/>
      </w:pPr>
      <w:r>
        <w:separator/>
      </w:r>
    </w:p>
  </w:endnote>
  <w:endnote w:type="continuationSeparator" w:id="0">
    <w:p w14:paraId="56938E31" w14:textId="77777777" w:rsidR="0079705F" w:rsidRDefault="0079705F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3E4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48E7A2CA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D171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384A7AB2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D67" w14:textId="77777777" w:rsidR="0079705F" w:rsidRDefault="0079705F" w:rsidP="00DF305D">
      <w:pPr>
        <w:spacing w:line="240" w:lineRule="auto"/>
      </w:pPr>
      <w:r>
        <w:separator/>
      </w:r>
    </w:p>
  </w:footnote>
  <w:footnote w:type="continuationSeparator" w:id="0">
    <w:p w14:paraId="16F71E35" w14:textId="77777777" w:rsidR="0079705F" w:rsidRDefault="0079705F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162CF"/>
    <w:rsid w:val="00020C70"/>
    <w:rsid w:val="000211C0"/>
    <w:rsid w:val="00024097"/>
    <w:rsid w:val="00030DDC"/>
    <w:rsid w:val="000320B9"/>
    <w:rsid w:val="0003444E"/>
    <w:rsid w:val="00034DAB"/>
    <w:rsid w:val="000510FE"/>
    <w:rsid w:val="0005449D"/>
    <w:rsid w:val="00064DB0"/>
    <w:rsid w:val="000715C9"/>
    <w:rsid w:val="0008074C"/>
    <w:rsid w:val="00085BCB"/>
    <w:rsid w:val="00090E12"/>
    <w:rsid w:val="000A6C72"/>
    <w:rsid w:val="000A7A31"/>
    <w:rsid w:val="000D05CD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C2DD2"/>
    <w:rsid w:val="002C6B2E"/>
    <w:rsid w:val="002D0CD9"/>
    <w:rsid w:val="002D5F23"/>
    <w:rsid w:val="002F675D"/>
    <w:rsid w:val="003031D1"/>
    <w:rsid w:val="0032371A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0589E"/>
    <w:rsid w:val="004121F0"/>
    <w:rsid w:val="004133DA"/>
    <w:rsid w:val="004263F0"/>
    <w:rsid w:val="00427E60"/>
    <w:rsid w:val="004339F8"/>
    <w:rsid w:val="00442D51"/>
    <w:rsid w:val="00447976"/>
    <w:rsid w:val="00451A75"/>
    <w:rsid w:val="00466B34"/>
    <w:rsid w:val="00470521"/>
    <w:rsid w:val="00473AC5"/>
    <w:rsid w:val="00492D9D"/>
    <w:rsid w:val="004A0AF5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41A0"/>
    <w:rsid w:val="005952FA"/>
    <w:rsid w:val="005B0662"/>
    <w:rsid w:val="005C12B9"/>
    <w:rsid w:val="005C23D5"/>
    <w:rsid w:val="00600D88"/>
    <w:rsid w:val="00607EFB"/>
    <w:rsid w:val="00622C87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9147B"/>
    <w:rsid w:val="0079705F"/>
    <w:rsid w:val="007A02FF"/>
    <w:rsid w:val="007A32FA"/>
    <w:rsid w:val="007B0211"/>
    <w:rsid w:val="007B0501"/>
    <w:rsid w:val="007B4445"/>
    <w:rsid w:val="007E4A32"/>
    <w:rsid w:val="007F025E"/>
    <w:rsid w:val="00834792"/>
    <w:rsid w:val="008444D4"/>
    <w:rsid w:val="008448E2"/>
    <w:rsid w:val="00877F91"/>
    <w:rsid w:val="00881273"/>
    <w:rsid w:val="00883EF7"/>
    <w:rsid w:val="00885DEF"/>
    <w:rsid w:val="00887508"/>
    <w:rsid w:val="00891BE9"/>
    <w:rsid w:val="008A1D8D"/>
    <w:rsid w:val="008A6BE3"/>
    <w:rsid w:val="008C7421"/>
    <w:rsid w:val="008D4B00"/>
    <w:rsid w:val="008D61D2"/>
    <w:rsid w:val="008E16E6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41559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917AB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C3E40"/>
    <w:rsid w:val="00CC4453"/>
    <w:rsid w:val="00CD1A1E"/>
    <w:rsid w:val="00CD3B92"/>
    <w:rsid w:val="00CD7F45"/>
    <w:rsid w:val="00CE0251"/>
    <w:rsid w:val="00CE26A4"/>
    <w:rsid w:val="00CF6518"/>
    <w:rsid w:val="00D02994"/>
    <w:rsid w:val="00D222F5"/>
    <w:rsid w:val="00D30AC6"/>
    <w:rsid w:val="00D35B50"/>
    <w:rsid w:val="00D46D66"/>
    <w:rsid w:val="00D47543"/>
    <w:rsid w:val="00D50B1E"/>
    <w:rsid w:val="00D61808"/>
    <w:rsid w:val="00D63382"/>
    <w:rsid w:val="00D66BC5"/>
    <w:rsid w:val="00D67BDA"/>
    <w:rsid w:val="00D7011A"/>
    <w:rsid w:val="00D70F8D"/>
    <w:rsid w:val="00D745E2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54FB0"/>
    <w:rsid w:val="00E56332"/>
    <w:rsid w:val="00E82634"/>
    <w:rsid w:val="00E8435B"/>
    <w:rsid w:val="00E92B9A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50E1E"/>
    <w:rsid w:val="00F615DE"/>
    <w:rsid w:val="00F703EA"/>
    <w:rsid w:val="00F71743"/>
    <w:rsid w:val="00F72DE0"/>
    <w:rsid w:val="00F852A1"/>
    <w:rsid w:val="00F85A7E"/>
    <w:rsid w:val="00F91286"/>
    <w:rsid w:val="00F93E1A"/>
    <w:rsid w:val="00FA585C"/>
    <w:rsid w:val="00FB7917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E359B"/>
  <w15:docId w15:val="{811DFBF0-88B3-4BC0-BD25-D2113DA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2026-06-03T20:14:00Z</dcterms:created>
  <dcterms:modified xsi:type="dcterms:W3CDTF">2026-06-03T20:14:00Z</dcterms:modified>
</cp:coreProperties>
</file>