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725C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B47FD99" w14:textId="2BE4E2AA" w:rsidR="00DD02E5" w:rsidRPr="00EE5848" w:rsidRDefault="00F34BF4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окончательной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43D8D00A" w14:textId="38F3D482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C93191">
        <w:rPr>
          <w:rFonts w:ascii="Times New Roman" w:hAnsi="Times New Roman" w:cs="Times New Roman"/>
          <w:b/>
          <w:sz w:val="24"/>
          <w:szCs w:val="24"/>
        </w:rPr>
        <w:t xml:space="preserve">Правила упрощенного </w:t>
      </w:r>
      <w:r w:rsidR="00F34BF4">
        <w:rPr>
          <w:rFonts w:ascii="Times New Roman" w:hAnsi="Times New Roman" w:cs="Times New Roman"/>
          <w:b/>
          <w:sz w:val="24"/>
          <w:szCs w:val="24"/>
        </w:rPr>
        <w:t xml:space="preserve">задания требований к </w:t>
      </w:r>
      <w:r w:rsidR="00C93191">
        <w:rPr>
          <w:rFonts w:ascii="Times New Roman" w:hAnsi="Times New Roman" w:cs="Times New Roman"/>
          <w:b/>
          <w:sz w:val="24"/>
          <w:szCs w:val="24"/>
        </w:rPr>
        <w:t>отверсти</w:t>
      </w:r>
      <w:r w:rsidR="00F34BF4">
        <w:rPr>
          <w:rFonts w:ascii="Times New Roman" w:hAnsi="Times New Roman" w:cs="Times New Roman"/>
          <w:b/>
          <w:sz w:val="24"/>
          <w:szCs w:val="24"/>
        </w:rPr>
        <w:t>ям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6FB1FA67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19E03B67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53AD2B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EE0255" w:rsidRPr="00EE02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1.0.482-1.077.23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2720CB" w14:textId="77777777" w:rsidR="00DD02E5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0321BAE1" w14:textId="77777777" w:rsidR="003C618B" w:rsidRPr="00386FE1" w:rsidRDefault="003C618B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0B06E1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4BEB6AF5" w14:textId="263BF69B" w:rsidR="00C93191" w:rsidRDefault="00DD02E5" w:rsidP="00EC3AD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72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</w:t>
      </w:r>
      <w:r w:rsidR="00EC3A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EC3A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тся конструкторск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C3A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документаци</w:t>
      </w:r>
      <w:r w:rsidR="007D63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C3AD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AB5B7B" w14:textId="2E49D937" w:rsidR="00857449" w:rsidRDefault="00857449" w:rsidP="00B94C1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устанавливает правила </w:t>
      </w:r>
      <w:r w:rsidR="0070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условного изображения и </w:t>
      </w:r>
      <w:r w:rsidRP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упрощенного </w:t>
      </w:r>
      <w:r w:rsidR="0070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указания размеров на чертежах и в электронных геометрических моделях </w:t>
      </w:r>
      <w:r w:rsidRPr="00857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(далее – ЭГМ) изделий машиностроения</w:t>
      </w:r>
      <w:r w:rsidR="00702D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730289" w14:textId="378F5A5F" w:rsidR="00702D3B" w:rsidRDefault="00702D3B" w:rsidP="0085744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Окончательная редакция стандарта разработана на базе ГОСТ 2.318–81 и сводки отзывов на первую и вторую редакции проекта.</w:t>
      </w:r>
    </w:p>
    <w:p w14:paraId="118AAFC7" w14:textId="336B36BE" w:rsidR="00702D3B" w:rsidRDefault="00702D3B" w:rsidP="0085744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рамках рассмотрения второй редакции была предложена новая система упрощенного указания размеров отверстий, основанная </w:t>
      </w: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международном опыте стандартизации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Отзывы на вторую редакцию показали, что внедрение совершенно новой системы указаний потребует выделения значительной трудоемкости на изучение и внедрение новых правил, а также на корректировку КД и доработку применяемых для проектирования программных средств. В связи с этим принято решение в окончательной редакции оставить привычные правила упрощенного указания размеров отверстий. Новые правила, изложенные во второй редакции проекта, планируется доработать по замечаниям ко второй редакции и рассмотреть возможность выпуска их в виде предварительного национального стандарта (действующего 3 года).</w:t>
      </w:r>
    </w:p>
    <w:p w14:paraId="1AD25DA5" w14:textId="77777777" w:rsidR="001B2FAE" w:rsidRPr="00EE5848" w:rsidRDefault="001B2FAE" w:rsidP="001B2FAE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7706A28D" w14:textId="07154F9E" w:rsidR="00857449" w:rsidRDefault="00857449" w:rsidP="0085744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раздел</w:t>
      </w:r>
      <w:r w:rsidR="001B2F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r w:rsidR="001B2F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5 </w:t>
      </w: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подробно изложены </w:t>
      </w:r>
      <w:r w:rsidR="001B2F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и ограничения по применению условного изображения отверстий на чертежах и в ЭГМ, а также по упрощенному указанию их размеров. Данные правила были рассмотрены и доработаны при обсуждении второй редакции проекта в ТК 482</w:t>
      </w:r>
      <w:r w:rsidRPr="00B94C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79C21F6" w14:textId="03C103BF" w:rsidR="001B2FAE" w:rsidRDefault="001B2FAE" w:rsidP="0085744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разделе 6 предложена ранее отсутствовавшая в ГОСТ 2.318–81 систематизация правил формирования записи при упрощенном указании размеров отверстия: выделены основные элементы записи для разных видов элементов отверстия и способы их сочетания. Такая систематизация правил будет полезна при изучении и запоминании правил формирования строки, а также в качестве наглядного материала (подсказки) при самостоятельном формировании записи для конкретного отверстия на чертеже.</w:t>
      </w:r>
    </w:p>
    <w:p w14:paraId="1EB95A81" w14:textId="684F6744" w:rsidR="001B2FAE" w:rsidRDefault="001B2FAE" w:rsidP="0085744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проекте сохранена таблица ГОСТ 2.318–81 с примерами упрощенного указания размеров разных видов отверстий с их уточнением и исправлением ошибок.</w:t>
      </w:r>
    </w:p>
    <w:p w14:paraId="49399948" w14:textId="1A38836A" w:rsidR="001B2FAE" w:rsidRDefault="001B2FAE" w:rsidP="0085744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основании предложений АО «ЦНИИмаш», АО «Концерн ВКО «Алмаз-Антей», НИЦ «Курчатовский институт» в стандарт добавлена возможность указывать размеры  дополнительных элементов сквозного отверстия, расположенных с обратной стороны отверстия (противоположной лицевой).</w:t>
      </w:r>
    </w:p>
    <w:p w14:paraId="0516378D" w14:textId="204B48A1" w:rsidR="001B2FAE" w:rsidRPr="00B94C13" w:rsidRDefault="001B2FAE" w:rsidP="00857449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предложению</w:t>
      </w:r>
      <w:r w:rsidRPr="001B2FAE">
        <w:t xml:space="preserve"> </w:t>
      </w:r>
      <w:r w:rsidRPr="001B2F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АО «Концерн ВКО «Алмаз -Антей»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стандарт добавлен термин «отверстие» с определением, которое необходимо именно для понимания положения настоящего стандарта. </w:t>
      </w:r>
      <w:r w:rsidR="00A955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существующих стандартизованных терминов для понятия «отверстие» не подходит для ГОСТ Р 2.318, так как включает элементы не только круглого сечения. </w:t>
      </w:r>
    </w:p>
    <w:p w14:paraId="49252A16" w14:textId="699F0AB7" w:rsidR="00B94C13" w:rsidRPr="00CC3E41" w:rsidRDefault="00B94C13" w:rsidP="00833904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3F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связи с </w:t>
      </w:r>
      <w:r w:rsidR="008339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возвратом к действующей системе обозначений и по предложениям организаций </w:t>
      </w:r>
      <w:r w:rsidRPr="005C3F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предлагается изменить наименование </w:t>
      </w:r>
      <w:r w:rsidR="008339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2.318</w:t>
      </w:r>
      <w:r w:rsidRPr="005C3F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«Единая система конструкторской документации. Правила </w:t>
      </w:r>
      <w:r w:rsidR="008339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условного изображения и </w:t>
      </w:r>
      <w:r w:rsidRPr="005C3F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упрощенного </w:t>
      </w:r>
      <w:r w:rsidR="008339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указания размеров </w:t>
      </w:r>
      <w:r w:rsidRPr="005C3F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отверсти</w:t>
      </w:r>
      <w:r w:rsidR="008339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C3FC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F4DEDB5" w14:textId="77777777" w:rsidR="00DD02E5" w:rsidRPr="00386FE1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BA52566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3998A295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9804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системы стан</w:t>
      </w:r>
      <w:r w:rsidR="009804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дартизации (Н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2FA1F097" w14:textId="34A56A1F" w:rsid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149BD1CB" w14:textId="33302433" w:rsidR="00F14BB5" w:rsidRPr="00386FE1" w:rsidRDefault="00F14BB5" w:rsidP="00F14BB5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Гармонизация с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международны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(региональны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стандарт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проводилась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25D8B5" w14:textId="77777777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06F76442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5BCDFCE9" w14:textId="77777777" w:rsidR="00DD02E5" w:rsidRPr="00EE5848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4F2B31CF" w14:textId="573D6887" w:rsidR="00E1240C" w:rsidRDefault="00E1240C" w:rsidP="00E1240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связан со следующими национальными и межгосударственными стандартами:</w:t>
      </w:r>
    </w:p>
    <w:p w14:paraId="0220F4E7" w14:textId="77777777" w:rsidR="00A95574" w:rsidRPr="00A95574" w:rsidRDefault="00A95574" w:rsidP="00A95574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95574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2.005 Единая система конструкторской документации. Термины и определения</w:t>
      </w:r>
    </w:p>
    <w:p w14:paraId="455FEEEA" w14:textId="77777777" w:rsidR="00A95574" w:rsidRPr="00A95574" w:rsidRDefault="00A95574" w:rsidP="00A95574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95574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ГОСТ Р 2.052 Единая система конструкторской документации. Электронная геометрическая модель изделия. Основные положения</w:t>
      </w:r>
    </w:p>
    <w:p w14:paraId="0C5D508E" w14:textId="77777777" w:rsidR="00A95574" w:rsidRPr="00A95574" w:rsidRDefault="00A95574" w:rsidP="00A95574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95574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2.303 Единая система конструкторской документации. Линии (проект, окончательная редакция, вводится в действие одновременно)</w:t>
      </w:r>
    </w:p>
    <w:p w14:paraId="781499BF" w14:textId="4D2ADD65" w:rsidR="00F14BB5" w:rsidRDefault="00A95574" w:rsidP="00A95574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A95574"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ГОСТ Р 2.307 Единая система конструкторской документации. Нанесение размеров и предельных отклонений (проект, окончательная редакция, вводится в действие одновременно)</w:t>
      </w:r>
    </w:p>
    <w:p w14:paraId="007C4B3B" w14:textId="75FF995F" w:rsidR="00A95574" w:rsidRDefault="00A95574" w:rsidP="00A95574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Внесение изменений во взаимосвязанные стандарты не требуется.</w:t>
      </w:r>
    </w:p>
    <w:p w14:paraId="69ABC9FF" w14:textId="4EF85E4F" w:rsidR="00A95574" w:rsidRDefault="00A95574" w:rsidP="00A95574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После ввода в действие ГОСТ Р 2.318 планируется ограничить действие на территории РФ ГОСТ 2.318–81.</w:t>
      </w:r>
    </w:p>
    <w:p w14:paraId="0236741D" w14:textId="3CFAAEE7" w:rsidR="00DD02E5" w:rsidRPr="00EE5848" w:rsidRDefault="00386FE1" w:rsidP="00F14BB5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FE1">
        <w:rPr>
          <w:rFonts w:ascii="Times New Roman" w:hAnsi="Times New Roman" w:cs="Times New Roman"/>
          <w:b/>
          <w:sz w:val="24"/>
          <w:szCs w:val="24"/>
        </w:rPr>
        <w:t>8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</w:r>
      <w:r w:rsidR="00E1240C">
        <w:rPr>
          <w:rFonts w:ascii="Times New Roman" w:hAnsi="Times New Roman" w:cs="Times New Roman"/>
          <w:b/>
          <w:sz w:val="24"/>
          <w:szCs w:val="24"/>
        </w:rPr>
        <w:t>Сведения о проведении публичного обсуждения и краткая характеристика полученных отзывов заинтересованных лиц</w:t>
      </w:r>
    </w:p>
    <w:p w14:paraId="7E113960" w14:textId="0DA864DC" w:rsidR="00DD02E5" w:rsidRDefault="00DD02E5" w:rsidP="00D077D7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124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ервая редакция проекта ГОСТ Р прошла публичное обсуждение в установленном порядке. 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Дата размещения уведомления о разработке проекта ГОСТ Р на официальном сайте Федерального агентства по техническому регулированию и метрологии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03.11.2023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Дата начала публичного обсуждения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10.11.2023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дата завершения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53B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10.01.2024</w:t>
      </w:r>
      <w:r w:rsidR="00E1240C" w:rsidRPr="00FC53B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E124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Необходимый срок публичного обсуждения проекта ГОСТ Р соблюден.</w:t>
      </w:r>
    </w:p>
    <w:p w14:paraId="1B4B2BC7" w14:textId="3BA07C3C" w:rsidR="002878C2" w:rsidRPr="00A607B3" w:rsidRDefault="002878C2" w:rsidP="002878C2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 w:rsidR="006C322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63 организации. В отзывах 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2DDB370D" w14:textId="7C62C7D3" w:rsidR="002878C2" w:rsidRPr="00A607B3" w:rsidRDefault="002878C2" w:rsidP="002878C2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32 организаций: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«Адмиралтейские верфи»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«ВПК «НПО машиностроения»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«КБП»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«Композит»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«Созвездие»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ВКО «Алмаз-Антей»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«Концерн НПО «Аврора»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«НИПТБ «Онега»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«НПК «КБМ»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«Высокоточные комплексы»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«НПО «Электромашина»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«ПО «Севмаш»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«Российские космические системы»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АО «Северо-западный региональный центр Концерна ВКО «Алмаз-Антей» - Обуховский завод»,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«Системы управления»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«Коралл»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«ЦКБ МТ «Рубин»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«ЦНИИмаш»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«ЦНИИМФ»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«ЦНИИТОЧМАШ»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НПП «Респиратор»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В/ч 31800 Министерства обороны РФ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НИЦ «Курчатовский институт»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ОКБ Сухого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«КСК»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«ОАК»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ФГБУ «21 Научно-исследовательский испытательный институт военной автомобильной техники» Министерства обороны РФ,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«46 ЦНИИ» Минобороны России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562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ФГБУ «НИИЦ ЖДВ» Минобороны России</w:t>
      </w:r>
      <w:r w:rsidR="00BA04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Получено 1</w:t>
      </w:r>
      <w:r w:rsidR="008B5E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08</w:t>
      </w:r>
      <w:r w:rsidR="00BA04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замечаний к первой редакции.</w:t>
      </w:r>
    </w:p>
    <w:p w14:paraId="234D4FAC" w14:textId="732227F5" w:rsidR="00BA048A" w:rsidRDefault="00117725" w:rsidP="00D7570D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</w:t>
      </w:r>
      <w:r w:rsidR="00BA04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второй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редакции проекта ГОСТ Р поступили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Pr="00117725">
        <w:rPr>
          <w:rFonts w:ascii="Times New Roman" w:hAnsi="Times New Roman" w:cs="Times New Roman"/>
          <w:bCs/>
          <w:sz w:val="24"/>
          <w:szCs w:val="24"/>
        </w:rPr>
        <w:t xml:space="preserve"> 32 организаций. В отзывах 14 организаций замечаний и предложений нет. Замечания и предложения поступили от 18 организаций: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«ЦНИИмаш»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«ОСК»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 xml:space="preserve">Группа </w:t>
      </w:r>
      <w:r w:rsidR="00BA048A">
        <w:rPr>
          <w:rFonts w:ascii="Times New Roman" w:hAnsi="Times New Roman" w:cs="Times New Roman"/>
          <w:bCs/>
          <w:sz w:val="24"/>
          <w:szCs w:val="24"/>
        </w:rPr>
        <w:t>«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ТМХ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», 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 xml:space="preserve">АО </w:t>
      </w:r>
      <w:r w:rsidR="00BA048A">
        <w:rPr>
          <w:rFonts w:ascii="Times New Roman" w:hAnsi="Times New Roman" w:cs="Times New Roman"/>
          <w:bCs/>
          <w:sz w:val="24"/>
          <w:szCs w:val="24"/>
        </w:rPr>
        <w:t>«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 xml:space="preserve">ИЭМЗ </w:t>
      </w:r>
      <w:r w:rsidR="00BA048A">
        <w:rPr>
          <w:rFonts w:ascii="Times New Roman" w:hAnsi="Times New Roman" w:cs="Times New Roman"/>
          <w:bCs/>
          <w:sz w:val="24"/>
          <w:szCs w:val="24"/>
        </w:rPr>
        <w:t>«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КУПОЛ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«КБП»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«Концерн ВКО «Алмаз -Антей»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«НПК «КБМ»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«НПО «Высокоточные комплексы»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«ОПК»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«О</w:t>
      </w:r>
      <w:r w:rsidR="00BA048A">
        <w:rPr>
          <w:rFonts w:ascii="Times New Roman" w:hAnsi="Times New Roman" w:cs="Times New Roman"/>
          <w:bCs/>
          <w:sz w:val="24"/>
          <w:szCs w:val="24"/>
        </w:rPr>
        <w:t>С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К»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«ЦКБ МТ «Рубин»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АО «ЦЭНКИ»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 xml:space="preserve">ГК </w:t>
      </w:r>
      <w:r w:rsidR="00BA048A">
        <w:rPr>
          <w:rFonts w:ascii="Times New Roman" w:hAnsi="Times New Roman" w:cs="Times New Roman"/>
          <w:bCs/>
          <w:sz w:val="24"/>
          <w:szCs w:val="24"/>
        </w:rPr>
        <w:t>«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Росатом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ООО «ТМХ-ПТР»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ПАО «ДНПП»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ПАО «РКК «Энергия»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048A" w:rsidRPr="00BA048A">
        <w:rPr>
          <w:rFonts w:ascii="Times New Roman" w:hAnsi="Times New Roman" w:cs="Times New Roman"/>
          <w:bCs/>
          <w:sz w:val="24"/>
          <w:szCs w:val="24"/>
        </w:rPr>
        <w:t>Союз «Объединение вагоностроителей»</w:t>
      </w:r>
      <w:r w:rsidR="00BA048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A04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Получено 2</w:t>
      </w:r>
      <w:r w:rsidR="008B5E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40</w:t>
      </w:r>
      <w:r w:rsidR="00BA04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замечания ко второй редакции. </w:t>
      </w:r>
    </w:p>
    <w:p w14:paraId="18382C9F" w14:textId="156AEF71" w:rsidR="00BA048A" w:rsidRDefault="00BA048A" w:rsidP="00D7570D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всем полученным замечаниям и предложениям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 первой редакции 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составлена 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сводка отзывов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 которую также включен ряд замечания и предложений к положениям второй редакции, которые были перенесены в окончательную редакцию. И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="008B5E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116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полученных замечаний</w:t>
      </w:r>
      <w:r w:rsidR="008B5E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предложений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принято – </w:t>
      </w:r>
      <w:r w:rsidR="008B5E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65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B5E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принято частично – 4, </w:t>
      </w:r>
      <w:r w:rsidR="008B5E82"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принято к сведению – </w:t>
      </w:r>
      <w:r w:rsidR="008B5E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27, 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отклонено – </w:t>
      </w:r>
      <w:r w:rsidR="008B5E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</w:t>
      </w:r>
      <w:r w:rsidRPr="00A607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42708590" w14:textId="62B70E1A" w:rsidR="00833904" w:rsidRDefault="00833904" w:rsidP="00D7570D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Выполненная по замечаниям доработка проекта описана в разделе 3 настоящей пояснительной записки.</w:t>
      </w:r>
    </w:p>
    <w:p w14:paraId="3B644191" w14:textId="0ED90E71" w:rsidR="00DD02E5" w:rsidRPr="00386FE1" w:rsidRDefault="00386FE1" w:rsidP="00D7570D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7570D" w:rsidRPr="000E545A">
        <w:rPr>
          <w:rFonts w:ascii="Times New Roman" w:hAnsi="Times New Roman" w:cs="Times New Roman"/>
          <w:b/>
          <w:sz w:val="24"/>
          <w:szCs w:val="24"/>
        </w:rPr>
        <w:t>Перечень исходных документов и другие источники информации, использованные при разработке стандарта</w:t>
      </w:r>
    </w:p>
    <w:p w14:paraId="79B7D620" w14:textId="7070BC2D" w:rsidR="00437D9B" w:rsidRPr="007D6311" w:rsidRDefault="00437D9B" w:rsidP="008B5E82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использовал</w:t>
      </w:r>
      <w:r w:rsidR="008B5E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ся ГОСТ 2.318–81 «ЕСКД. Правила упрощенного указания размеров отверстий»</w:t>
      </w:r>
    </w:p>
    <w:p w14:paraId="6BC8B885" w14:textId="77777777" w:rsidR="00D7570D" w:rsidRPr="00D7570D" w:rsidRDefault="00D7570D" w:rsidP="00D7570D">
      <w:pPr>
        <w:pStyle w:val="a6"/>
        <w:widowControl w:val="0"/>
        <w:shd w:val="clear" w:color="auto" w:fill="FFFFFF"/>
        <w:tabs>
          <w:tab w:val="left" w:pos="993"/>
        </w:tabs>
        <w:spacing w:before="240" w:after="12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70D">
        <w:rPr>
          <w:rFonts w:ascii="Times New Roman" w:hAnsi="Times New Roman" w:cs="Times New Roman"/>
          <w:b/>
          <w:sz w:val="24"/>
          <w:szCs w:val="24"/>
        </w:rPr>
        <w:t>10</w:t>
      </w:r>
      <w:r w:rsidRPr="00D7570D">
        <w:rPr>
          <w:rFonts w:ascii="Times New Roman" w:hAnsi="Times New Roman" w:cs="Times New Roman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626C320B" w14:textId="5C281F74" w:rsidR="00D7570D" w:rsidRPr="00F14BB5" w:rsidRDefault="00D7570D" w:rsidP="00F14BB5">
      <w:pPr>
        <w:widowControl w:val="0"/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BB5">
        <w:rPr>
          <w:rFonts w:ascii="Times New Roman" w:hAnsi="Times New Roman" w:cs="Times New Roman"/>
          <w:sz w:val="24"/>
          <w:szCs w:val="24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3B8ABB94" w14:textId="40D13A29" w:rsidR="00DD02E5" w:rsidRPr="00386FE1" w:rsidRDefault="00EB5ACE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7570D">
        <w:rPr>
          <w:rFonts w:ascii="Times New Roman" w:hAnsi="Times New Roman" w:cs="Times New Roman"/>
          <w:b/>
          <w:sz w:val="24"/>
          <w:szCs w:val="24"/>
        </w:rPr>
        <w:t>1</w:t>
      </w:r>
      <w:r w:rsidR="00386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11709C3D" w14:textId="77777777" w:rsidR="00F14BB5" w:rsidRPr="00EC1615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28267E51" w14:textId="77777777" w:rsidR="00F14BB5" w:rsidRPr="00EC1615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7C8BF11" w14:textId="77777777" w:rsidR="00F14BB5" w:rsidRPr="003B6A18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115114, г. Москва, Летниковская ул. д10с4</w:t>
      </w:r>
    </w:p>
    <w:p w14:paraId="1B56E09F" w14:textId="77777777" w:rsidR="00F14BB5" w:rsidRPr="00EC1615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6EF3E763" w14:textId="2FEFFC9E" w:rsidR="00F14BB5" w:rsidRDefault="00F14BB5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24BB03F4" w14:textId="35937737" w:rsidR="008B5E82" w:rsidRDefault="008B5E82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14F12" w14:textId="77777777" w:rsidR="008B5E82" w:rsidRDefault="008B5E82" w:rsidP="00F14BB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7"/>
      </w:tblGrid>
      <w:tr w:rsidR="00F14BB5" w14:paraId="31ED5255" w14:textId="77777777" w:rsidTr="00EB5ACE">
        <w:tc>
          <w:tcPr>
            <w:tcW w:w="4830" w:type="dxa"/>
            <w:hideMark/>
          </w:tcPr>
          <w:p w14:paraId="07780833" w14:textId="77777777" w:rsidR="00F14BB5" w:rsidRDefault="00F14BB5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22DF513D" w14:textId="77777777" w:rsidR="00F14BB5" w:rsidRDefault="00F14BB5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6C3C5A4A" w14:textId="77777777" w:rsidR="00F14BB5" w:rsidRDefault="00F14BB5" w:rsidP="001110D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807" w:type="dxa"/>
            <w:vAlign w:val="bottom"/>
            <w:hideMark/>
          </w:tcPr>
          <w:p w14:paraId="6260AD82" w14:textId="77777777" w:rsidR="00F14BB5" w:rsidRDefault="00F14BB5" w:rsidP="001110D5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1AF13945" w14:textId="77777777" w:rsidR="00E60A42" w:rsidRPr="00DD02E5" w:rsidRDefault="00E60A42" w:rsidP="00386FE1">
      <w:pPr>
        <w:spacing w:after="0"/>
        <w:jc w:val="both"/>
      </w:pPr>
    </w:p>
    <w:sectPr w:rsidR="00E60A42" w:rsidRPr="00DD02E5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DF8D" w14:textId="77777777" w:rsidR="00660A9D" w:rsidRDefault="00660A9D" w:rsidP="001B611C">
      <w:pPr>
        <w:spacing w:after="0" w:line="240" w:lineRule="auto"/>
      </w:pPr>
      <w:r>
        <w:separator/>
      </w:r>
    </w:p>
  </w:endnote>
  <w:endnote w:type="continuationSeparator" w:id="0">
    <w:p w14:paraId="7CEB0A78" w14:textId="77777777" w:rsidR="00660A9D" w:rsidRDefault="00660A9D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1B2989D4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AF0">
          <w:rPr>
            <w:noProof/>
          </w:rPr>
          <w:t>2</w:t>
        </w:r>
        <w:r>
          <w:fldChar w:fldCharType="end"/>
        </w:r>
      </w:p>
    </w:sdtContent>
  </w:sdt>
  <w:p w14:paraId="239949C8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E970" w14:textId="77777777" w:rsidR="00660A9D" w:rsidRDefault="00660A9D" w:rsidP="001B611C">
      <w:pPr>
        <w:spacing w:after="0" w:line="240" w:lineRule="auto"/>
      </w:pPr>
      <w:r>
        <w:separator/>
      </w:r>
    </w:p>
  </w:footnote>
  <w:footnote w:type="continuationSeparator" w:id="0">
    <w:p w14:paraId="1B267141" w14:textId="77777777" w:rsidR="00660A9D" w:rsidRDefault="00660A9D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BE43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22BE8"/>
    <w:rsid w:val="00037F06"/>
    <w:rsid w:val="000673E7"/>
    <w:rsid w:val="00093AAD"/>
    <w:rsid w:val="000A112D"/>
    <w:rsid w:val="000A6F82"/>
    <w:rsid w:val="000A7EBF"/>
    <w:rsid w:val="000A7EF3"/>
    <w:rsid w:val="000B32C4"/>
    <w:rsid w:val="00103121"/>
    <w:rsid w:val="00117725"/>
    <w:rsid w:val="00123D68"/>
    <w:rsid w:val="0015500D"/>
    <w:rsid w:val="00163591"/>
    <w:rsid w:val="00185CEA"/>
    <w:rsid w:val="00186AAE"/>
    <w:rsid w:val="00190101"/>
    <w:rsid w:val="001A6506"/>
    <w:rsid w:val="001B2FAE"/>
    <w:rsid w:val="001B611C"/>
    <w:rsid w:val="001D2BBC"/>
    <w:rsid w:val="001D5B2E"/>
    <w:rsid w:val="001F096B"/>
    <w:rsid w:val="00221AA9"/>
    <w:rsid w:val="00233BC1"/>
    <w:rsid w:val="0024436D"/>
    <w:rsid w:val="00254E4F"/>
    <w:rsid w:val="002878C2"/>
    <w:rsid w:val="002A33F0"/>
    <w:rsid w:val="002A39F1"/>
    <w:rsid w:val="002F6A70"/>
    <w:rsid w:val="003007CB"/>
    <w:rsid w:val="00310321"/>
    <w:rsid w:val="00312B2C"/>
    <w:rsid w:val="0032769C"/>
    <w:rsid w:val="003300D2"/>
    <w:rsid w:val="00331613"/>
    <w:rsid w:val="00333999"/>
    <w:rsid w:val="003349CE"/>
    <w:rsid w:val="00361B0E"/>
    <w:rsid w:val="00366B22"/>
    <w:rsid w:val="00371196"/>
    <w:rsid w:val="003758E1"/>
    <w:rsid w:val="00386FE1"/>
    <w:rsid w:val="003A091B"/>
    <w:rsid w:val="003B19C3"/>
    <w:rsid w:val="003C618B"/>
    <w:rsid w:val="003E2EA3"/>
    <w:rsid w:val="003E3791"/>
    <w:rsid w:val="003E540D"/>
    <w:rsid w:val="003E6D72"/>
    <w:rsid w:val="003F64F6"/>
    <w:rsid w:val="00401DAF"/>
    <w:rsid w:val="00404F92"/>
    <w:rsid w:val="00415692"/>
    <w:rsid w:val="004163DE"/>
    <w:rsid w:val="00423B52"/>
    <w:rsid w:val="00437D9B"/>
    <w:rsid w:val="004409D2"/>
    <w:rsid w:val="0045214E"/>
    <w:rsid w:val="00455A39"/>
    <w:rsid w:val="004676BF"/>
    <w:rsid w:val="00470229"/>
    <w:rsid w:val="00490D71"/>
    <w:rsid w:val="004C60F2"/>
    <w:rsid w:val="004C7522"/>
    <w:rsid w:val="004D1986"/>
    <w:rsid w:val="00513D76"/>
    <w:rsid w:val="00524E46"/>
    <w:rsid w:val="0053174E"/>
    <w:rsid w:val="00532AA9"/>
    <w:rsid w:val="0055427E"/>
    <w:rsid w:val="005602EF"/>
    <w:rsid w:val="00572576"/>
    <w:rsid w:val="005736E1"/>
    <w:rsid w:val="00583727"/>
    <w:rsid w:val="005A7BB9"/>
    <w:rsid w:val="005C3FC9"/>
    <w:rsid w:val="005C61FA"/>
    <w:rsid w:val="005D3504"/>
    <w:rsid w:val="005D6464"/>
    <w:rsid w:val="005E6684"/>
    <w:rsid w:val="005F5E04"/>
    <w:rsid w:val="00610AF0"/>
    <w:rsid w:val="006133C8"/>
    <w:rsid w:val="006560F6"/>
    <w:rsid w:val="00656D21"/>
    <w:rsid w:val="00660062"/>
    <w:rsid w:val="00660A9D"/>
    <w:rsid w:val="0067183B"/>
    <w:rsid w:val="00676F4C"/>
    <w:rsid w:val="006A5FEE"/>
    <w:rsid w:val="006C3227"/>
    <w:rsid w:val="006D7330"/>
    <w:rsid w:val="006E5D27"/>
    <w:rsid w:val="006F0273"/>
    <w:rsid w:val="00702D3B"/>
    <w:rsid w:val="00730201"/>
    <w:rsid w:val="00733D7D"/>
    <w:rsid w:val="00744123"/>
    <w:rsid w:val="00746218"/>
    <w:rsid w:val="0076325B"/>
    <w:rsid w:val="00767345"/>
    <w:rsid w:val="007A1418"/>
    <w:rsid w:val="007C2736"/>
    <w:rsid w:val="007D6311"/>
    <w:rsid w:val="007E0AAA"/>
    <w:rsid w:val="007E3E32"/>
    <w:rsid w:val="007E4CFB"/>
    <w:rsid w:val="008209B0"/>
    <w:rsid w:val="00830FE6"/>
    <w:rsid w:val="00833904"/>
    <w:rsid w:val="008361B2"/>
    <w:rsid w:val="00840992"/>
    <w:rsid w:val="0085009A"/>
    <w:rsid w:val="00857449"/>
    <w:rsid w:val="008606F2"/>
    <w:rsid w:val="00861DE4"/>
    <w:rsid w:val="00871737"/>
    <w:rsid w:val="008815BD"/>
    <w:rsid w:val="008B5E82"/>
    <w:rsid w:val="008B79A7"/>
    <w:rsid w:val="008E2D7A"/>
    <w:rsid w:val="008F2CA4"/>
    <w:rsid w:val="00900D78"/>
    <w:rsid w:val="009021B7"/>
    <w:rsid w:val="00933FB4"/>
    <w:rsid w:val="00952B4D"/>
    <w:rsid w:val="00974A21"/>
    <w:rsid w:val="0098047A"/>
    <w:rsid w:val="00987FD6"/>
    <w:rsid w:val="009958D5"/>
    <w:rsid w:val="009A0402"/>
    <w:rsid w:val="009A2976"/>
    <w:rsid w:val="009A6C4B"/>
    <w:rsid w:val="009A7E4A"/>
    <w:rsid w:val="009B4AF2"/>
    <w:rsid w:val="009B7919"/>
    <w:rsid w:val="009D7EFF"/>
    <w:rsid w:val="00A05508"/>
    <w:rsid w:val="00A074D4"/>
    <w:rsid w:val="00A12F78"/>
    <w:rsid w:val="00A2197D"/>
    <w:rsid w:val="00A30B85"/>
    <w:rsid w:val="00A46667"/>
    <w:rsid w:val="00A54C2E"/>
    <w:rsid w:val="00A6309D"/>
    <w:rsid w:val="00A74D82"/>
    <w:rsid w:val="00A82021"/>
    <w:rsid w:val="00A8260D"/>
    <w:rsid w:val="00A930C9"/>
    <w:rsid w:val="00A95574"/>
    <w:rsid w:val="00AB3603"/>
    <w:rsid w:val="00AE2886"/>
    <w:rsid w:val="00AE6E7B"/>
    <w:rsid w:val="00B00D0C"/>
    <w:rsid w:val="00B06999"/>
    <w:rsid w:val="00B246B9"/>
    <w:rsid w:val="00B527C4"/>
    <w:rsid w:val="00B532F5"/>
    <w:rsid w:val="00B6401A"/>
    <w:rsid w:val="00B65CE8"/>
    <w:rsid w:val="00B77ED5"/>
    <w:rsid w:val="00B9104F"/>
    <w:rsid w:val="00B93C4B"/>
    <w:rsid w:val="00B94C13"/>
    <w:rsid w:val="00BA048A"/>
    <w:rsid w:val="00BC5953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93191"/>
    <w:rsid w:val="00CA26FC"/>
    <w:rsid w:val="00CA4F9E"/>
    <w:rsid w:val="00CC3E41"/>
    <w:rsid w:val="00CC7377"/>
    <w:rsid w:val="00D0434D"/>
    <w:rsid w:val="00D077D7"/>
    <w:rsid w:val="00D07E81"/>
    <w:rsid w:val="00D107CA"/>
    <w:rsid w:val="00D21C97"/>
    <w:rsid w:val="00D35449"/>
    <w:rsid w:val="00D7570D"/>
    <w:rsid w:val="00D85B49"/>
    <w:rsid w:val="00D9651B"/>
    <w:rsid w:val="00DA2172"/>
    <w:rsid w:val="00DB301C"/>
    <w:rsid w:val="00DD02E5"/>
    <w:rsid w:val="00DD25E8"/>
    <w:rsid w:val="00DE50BB"/>
    <w:rsid w:val="00E00F1D"/>
    <w:rsid w:val="00E024A3"/>
    <w:rsid w:val="00E0372F"/>
    <w:rsid w:val="00E1240C"/>
    <w:rsid w:val="00E144E8"/>
    <w:rsid w:val="00E20AA0"/>
    <w:rsid w:val="00E264E3"/>
    <w:rsid w:val="00E27A1E"/>
    <w:rsid w:val="00E36AB8"/>
    <w:rsid w:val="00E45569"/>
    <w:rsid w:val="00E576B7"/>
    <w:rsid w:val="00E60A42"/>
    <w:rsid w:val="00E77BB1"/>
    <w:rsid w:val="00E927A5"/>
    <w:rsid w:val="00EA1C1F"/>
    <w:rsid w:val="00EB5ACE"/>
    <w:rsid w:val="00EC1615"/>
    <w:rsid w:val="00EC3AD1"/>
    <w:rsid w:val="00ED4F04"/>
    <w:rsid w:val="00EE0255"/>
    <w:rsid w:val="00EE106D"/>
    <w:rsid w:val="00EE5848"/>
    <w:rsid w:val="00EF3A99"/>
    <w:rsid w:val="00EF7DD7"/>
    <w:rsid w:val="00F02DD8"/>
    <w:rsid w:val="00F14BB5"/>
    <w:rsid w:val="00F25E62"/>
    <w:rsid w:val="00F31ADC"/>
    <w:rsid w:val="00F31F57"/>
    <w:rsid w:val="00F34BF4"/>
    <w:rsid w:val="00F41125"/>
    <w:rsid w:val="00F4234A"/>
    <w:rsid w:val="00F743B5"/>
    <w:rsid w:val="00F77D53"/>
    <w:rsid w:val="00F87026"/>
    <w:rsid w:val="00F95E0E"/>
    <w:rsid w:val="00FA1BE2"/>
    <w:rsid w:val="00FA2468"/>
    <w:rsid w:val="00FA7E4A"/>
    <w:rsid w:val="00FB15A0"/>
    <w:rsid w:val="00FB1D60"/>
    <w:rsid w:val="00FB7FB3"/>
    <w:rsid w:val="00FC3D57"/>
    <w:rsid w:val="00FC53BC"/>
    <w:rsid w:val="00FC7B9B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72D14"/>
  <w15:docId w15:val="{9532BEF4-1CED-4A8F-828A-680827E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e">
    <w:name w:val="annotation text"/>
    <w:basedOn w:val="a"/>
    <w:link w:val="af"/>
    <w:uiPriority w:val="99"/>
    <w:semiHidden/>
    <w:unhideWhenUsed/>
    <w:rsid w:val="00C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2AAA-76C1-4946-BEC5-A114D393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</dc:creator>
  <cp:keywords>ЕСКД, 2.503, Пояснительная записка</cp:keywords>
  <cp:lastModifiedBy>selezneva</cp:lastModifiedBy>
  <cp:revision>17</cp:revision>
  <cp:lastPrinted>2021-02-18T07:47:00Z</cp:lastPrinted>
  <dcterms:created xsi:type="dcterms:W3CDTF">2025-08-29T05:07:00Z</dcterms:created>
  <dcterms:modified xsi:type="dcterms:W3CDTF">2026-06-11T09:36:00Z</dcterms:modified>
</cp:coreProperties>
</file>