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1DE2278A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 xml:space="preserve">на </w:t>
      </w:r>
      <w:r w:rsidR="00B93DBF">
        <w:rPr>
          <w:b/>
          <w:sz w:val="28"/>
          <w:szCs w:val="28"/>
        </w:rPr>
        <w:t>проект предварительного</w:t>
      </w:r>
      <w:r w:rsidRPr="008F36DF">
        <w:rPr>
          <w:b/>
          <w:sz w:val="28"/>
          <w:szCs w:val="28"/>
        </w:rPr>
        <w:t xml:space="preserve"> национального стандарта</w:t>
      </w:r>
      <w:r w:rsidR="00B93DBF">
        <w:rPr>
          <w:b/>
          <w:sz w:val="28"/>
          <w:szCs w:val="28"/>
        </w:rPr>
        <w:t xml:space="preserve"> ПНСТ</w:t>
      </w:r>
    </w:p>
    <w:p w14:paraId="29BED312" w14:textId="24384FA0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511C83" w:rsidRPr="00511C83">
        <w:rPr>
          <w:b/>
          <w:sz w:val="28"/>
          <w:szCs w:val="28"/>
        </w:rPr>
        <w:t xml:space="preserve">Система поддержки жизненного цикла изделия. </w:t>
      </w:r>
      <w:r w:rsidR="00511C83">
        <w:rPr>
          <w:b/>
          <w:sz w:val="28"/>
          <w:szCs w:val="28"/>
        </w:rPr>
        <w:br/>
      </w:r>
      <w:r w:rsidR="00511C83" w:rsidRPr="00511C83">
        <w:rPr>
          <w:b/>
          <w:sz w:val="28"/>
          <w:szCs w:val="28"/>
        </w:rPr>
        <w:t>Информационная модель изделия. Основные положения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46C33CC6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E670D2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32B04560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</w:t>
      </w:r>
      <w:r w:rsidR="00B93DBF">
        <w:rPr>
          <w:color w:val="000000"/>
          <w:spacing w:val="-1"/>
          <w:sz w:val="28"/>
          <w:szCs w:val="28"/>
        </w:rPr>
        <w:t xml:space="preserve">предварительного </w:t>
      </w:r>
      <w:r w:rsidRPr="00BA1E82">
        <w:rPr>
          <w:color w:val="000000"/>
          <w:spacing w:val="-1"/>
          <w:sz w:val="28"/>
          <w:szCs w:val="28"/>
        </w:rPr>
        <w:t xml:space="preserve">национального стандарта </w:t>
      </w:r>
      <w:r w:rsidR="00034DAB" w:rsidRPr="00034DAB">
        <w:rPr>
          <w:sz w:val="28"/>
          <w:szCs w:val="28"/>
        </w:rPr>
        <w:t>«</w:t>
      </w:r>
      <w:r w:rsidR="00511C83" w:rsidRPr="00DA0C13">
        <w:rPr>
          <w:sz w:val="28"/>
          <w:szCs w:val="28"/>
        </w:rPr>
        <w:t>Система поддержки жизненного цикла изделия. Информационная модель изделия. Основные положения</w:t>
      </w:r>
      <w:r w:rsidR="00034DAB" w:rsidRPr="00034DAB">
        <w:rPr>
          <w:sz w:val="28"/>
          <w:szCs w:val="28"/>
        </w:rPr>
        <w:t xml:space="preserve">»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Акционерным обществом «Научно-исследовательский центр «Прикладная </w:t>
      </w:r>
      <w:r w:rsidR="00E670D2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E670D2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</w:t>
      </w:r>
      <w:r w:rsidR="00452F5A" w:rsidRPr="00FE0C47">
        <w:rPr>
          <w:sz w:val="28"/>
          <w:szCs w:val="28"/>
        </w:rPr>
        <w:t>Перспективн</w:t>
      </w:r>
      <w:r w:rsidR="00452F5A">
        <w:rPr>
          <w:sz w:val="28"/>
          <w:szCs w:val="28"/>
        </w:rPr>
        <w:t>ой</w:t>
      </w:r>
      <w:r w:rsidR="00452F5A" w:rsidRPr="00FE0C47">
        <w:rPr>
          <w:sz w:val="28"/>
          <w:szCs w:val="28"/>
        </w:rPr>
        <w:t xml:space="preserve"> программ</w:t>
      </w:r>
      <w:r w:rsidR="00452F5A">
        <w:rPr>
          <w:sz w:val="28"/>
          <w:szCs w:val="28"/>
        </w:rPr>
        <w:t>ы</w:t>
      </w:r>
      <w:r w:rsidR="00452F5A" w:rsidRPr="00FE0C47">
        <w:rPr>
          <w:sz w:val="28"/>
          <w:szCs w:val="28"/>
        </w:rPr>
        <w:t xml:space="preserve"> стандартизации в области поддержки жизненного цикла изделий на 2024-2026 гг. (поручение Председателя Правительства РФ ММ-П10-17296 от 29.11.2023) и </w:t>
      </w:r>
      <w:r w:rsidR="00452F5A" w:rsidRPr="000B07B3">
        <w:rPr>
          <w:sz w:val="28"/>
          <w:szCs w:val="28"/>
        </w:rPr>
        <w:t xml:space="preserve">Программы </w:t>
      </w:r>
      <w:r w:rsidR="00452F5A" w:rsidRPr="000C02D7">
        <w:rPr>
          <w:sz w:val="28"/>
          <w:szCs w:val="28"/>
        </w:rPr>
        <w:t>национальной стандартизации на 2025</w:t>
      </w:r>
      <w:r w:rsidR="0013367B">
        <w:rPr>
          <w:sz w:val="28"/>
          <w:szCs w:val="28"/>
        </w:rPr>
        <w:t>–2026</w:t>
      </w:r>
      <w:r w:rsidR="00452F5A" w:rsidRPr="000C02D7">
        <w:rPr>
          <w:sz w:val="28"/>
          <w:szCs w:val="28"/>
        </w:rPr>
        <w:t xml:space="preserve"> год</w:t>
      </w:r>
      <w:r w:rsidR="00452F5A" w:rsidRPr="00034DAB">
        <w:rPr>
          <w:rFonts w:eastAsia="Calibri"/>
          <w:sz w:val="28"/>
          <w:szCs w:val="28"/>
        </w:rPr>
        <w:t xml:space="preserve"> (шифр темы </w:t>
      </w:r>
      <w:r w:rsidR="00511C83" w:rsidRPr="00DA0C13">
        <w:rPr>
          <w:rFonts w:eastAsia="Calibri"/>
          <w:sz w:val="28"/>
          <w:szCs w:val="28"/>
        </w:rPr>
        <w:t>1.0.482-1.103.25</w:t>
      </w:r>
      <w:r w:rsidR="00452F5A" w:rsidRPr="00034DAB">
        <w:rPr>
          <w:rFonts w:eastAsia="Calibri"/>
          <w:sz w:val="28"/>
          <w:szCs w:val="28"/>
        </w:rPr>
        <w:t>)</w:t>
      </w:r>
      <w:r w:rsidR="00F37076" w:rsidRPr="00034DAB">
        <w:rPr>
          <w:rFonts w:eastAsia="Calibri"/>
          <w:sz w:val="28"/>
          <w:szCs w:val="28"/>
        </w:rPr>
        <w:t xml:space="preserve"> </w:t>
      </w:r>
      <w:r w:rsidR="00F37076" w:rsidRPr="00097096">
        <w:rPr>
          <w:sz w:val="28"/>
          <w:szCs w:val="28"/>
        </w:rPr>
        <w:t xml:space="preserve">и договора </w:t>
      </w:r>
      <w:r w:rsidR="00F37076" w:rsidRPr="00FE5274">
        <w:rPr>
          <w:sz w:val="28"/>
          <w:szCs w:val="28"/>
        </w:rPr>
        <w:t>№ 130-23/2025 от 01.04.2025 г. (идентификатор государственного контракта 1770640629125000023)</w:t>
      </w:r>
      <w:r w:rsidR="00F37076">
        <w:rPr>
          <w:sz w:val="28"/>
          <w:szCs w:val="28"/>
        </w:rPr>
        <w:t>.</w:t>
      </w:r>
    </w:p>
    <w:p w14:paraId="20C82EA2" w14:textId="7379F435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Экспертиза проекта </w:t>
      </w:r>
      <w:r w:rsidR="0017026E">
        <w:rPr>
          <w:sz w:val="28"/>
          <w:szCs w:val="28"/>
        </w:rPr>
        <w:t xml:space="preserve">стандарта </w:t>
      </w:r>
      <w:r w:rsidRPr="008F36DF">
        <w:rPr>
          <w:sz w:val="28"/>
          <w:szCs w:val="28"/>
        </w:rPr>
        <w:t>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2424C49B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</w:t>
      </w:r>
      <w:r w:rsidR="0017026E">
        <w:rPr>
          <w:sz w:val="28"/>
          <w:szCs w:val="28"/>
        </w:rPr>
        <w:t xml:space="preserve">стандарта </w:t>
      </w:r>
      <w:r w:rsidRPr="008F36DF">
        <w:rPr>
          <w:sz w:val="28"/>
          <w:szCs w:val="28"/>
        </w:rPr>
        <w:t xml:space="preserve">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266EA7B4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</w:t>
      </w:r>
      <w:r w:rsidR="0017026E">
        <w:rPr>
          <w:sz w:val="28"/>
          <w:szCs w:val="28"/>
        </w:rPr>
        <w:t>стандарта</w:t>
      </w:r>
      <w:r w:rsidRPr="008F36DF">
        <w:rPr>
          <w:sz w:val="28"/>
          <w:szCs w:val="28"/>
        </w:rPr>
        <w:t xml:space="preserve">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26D60DD1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</w:t>
      </w:r>
      <w:r w:rsidR="0017026E">
        <w:rPr>
          <w:sz w:val="28"/>
          <w:szCs w:val="28"/>
        </w:rPr>
        <w:t>стандарта</w:t>
      </w:r>
      <w:r w:rsidRPr="008F36DF">
        <w:rPr>
          <w:sz w:val="28"/>
          <w:szCs w:val="28"/>
        </w:rPr>
        <w:t xml:space="preserve">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0E59899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 xml:space="preserve">Проект </w:t>
      </w:r>
      <w:r w:rsidR="0017026E">
        <w:rPr>
          <w:sz w:val="28"/>
          <w:szCs w:val="28"/>
        </w:rPr>
        <w:t>стандарта</w:t>
      </w:r>
      <w:r w:rsidRPr="00170135">
        <w:rPr>
          <w:sz w:val="28"/>
          <w:szCs w:val="28"/>
        </w:rPr>
        <w:t xml:space="preserve">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36E2FD0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="0017026E">
        <w:rPr>
          <w:sz w:val="28"/>
          <w:szCs w:val="28"/>
        </w:rPr>
        <w:t>стандарта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72199526" w14:textId="19958D46" w:rsidR="00E670D2" w:rsidRPr="00E670D2" w:rsidRDefault="00E670D2" w:rsidP="00E670D2">
      <w:pPr>
        <w:spacing w:line="360" w:lineRule="auto"/>
        <w:ind w:firstLine="708"/>
        <w:rPr>
          <w:sz w:val="28"/>
          <w:szCs w:val="28"/>
        </w:rPr>
      </w:pPr>
      <w:r w:rsidRPr="00E670D2">
        <w:rPr>
          <w:sz w:val="28"/>
          <w:szCs w:val="28"/>
        </w:rPr>
        <w:t xml:space="preserve">Целью разработки </w:t>
      </w:r>
      <w:r w:rsidR="0017026E">
        <w:rPr>
          <w:sz w:val="28"/>
          <w:szCs w:val="28"/>
        </w:rPr>
        <w:t>стандарта</w:t>
      </w:r>
      <w:r w:rsidRPr="00E670D2">
        <w:rPr>
          <w:sz w:val="28"/>
          <w:szCs w:val="28"/>
        </w:rPr>
        <w:t xml:space="preserve"> является установление единых основных положений и правил разработки стандартизованных схем данных, предназначенных для формирования информационных моделей изделий машиностроения. Стандарт определяет место информационных моделей в </w:t>
      </w:r>
      <w:r w:rsidRPr="00E670D2">
        <w:rPr>
          <w:sz w:val="28"/>
          <w:szCs w:val="28"/>
        </w:rPr>
        <w:lastRenderedPageBreak/>
        <w:t>системе поддержки жизненного цикла изделия, устанавливает общие принципы их построения на основе положений стандартов серии ГОСТ Р ИСО 10303, а также способы текстового и графического описания схем данных с применением нотаций EXPRESS, EXPRESS-G и UML.</w:t>
      </w:r>
    </w:p>
    <w:p w14:paraId="4D76054A" w14:textId="57FC6C45" w:rsidR="007F7893" w:rsidRPr="0064338C" w:rsidRDefault="00E670D2" w:rsidP="00E670D2">
      <w:pPr>
        <w:spacing w:line="360" w:lineRule="auto"/>
        <w:ind w:firstLine="708"/>
        <w:rPr>
          <w:sz w:val="28"/>
          <w:szCs w:val="28"/>
          <w:highlight w:val="yellow"/>
        </w:rPr>
      </w:pPr>
      <w:r w:rsidRPr="00E670D2">
        <w:rPr>
          <w:sz w:val="28"/>
          <w:szCs w:val="28"/>
        </w:rPr>
        <w:t>Применение стандарта обеспечит единую методологическую основу для разработки взаимосвязанных стандартов на информационные модели изделий, повысит однозначность и машиночитаемость представления данных, создаст условия для интероперабельности программных средств, долговременного хранения информации и обмена данными без потери их содержания. Преимуществом стандарта является формирование национальной нормативной основы представления данных об изделии, учитывающей международные подходы и требования действующих в Российской Федерации документов по стандартизации.</w:t>
      </w:r>
    </w:p>
    <w:p w14:paraId="2681FAEA" w14:textId="7EB598A4" w:rsidR="00194F18" w:rsidRPr="008F36DF" w:rsidRDefault="00194F18" w:rsidP="007F7893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="0017026E">
        <w:rPr>
          <w:sz w:val="28"/>
          <w:szCs w:val="28"/>
        </w:rPr>
        <w:t>стандарта</w:t>
      </w:r>
      <w:r w:rsidRPr="008F36DF">
        <w:rPr>
          <w:sz w:val="28"/>
          <w:szCs w:val="28"/>
        </w:rPr>
        <w:t xml:space="preserve"> полностью соответствует объекту стандартизации и области его применения.</w:t>
      </w:r>
    </w:p>
    <w:p w14:paraId="4CEB654B" w14:textId="7C5A86B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</w:t>
      </w:r>
      <w:r w:rsidR="0017026E">
        <w:rPr>
          <w:sz w:val="28"/>
          <w:szCs w:val="28"/>
        </w:rPr>
        <w:t>стандарта</w:t>
      </w:r>
      <w:r w:rsidRPr="008F36DF">
        <w:rPr>
          <w:sz w:val="28"/>
          <w:szCs w:val="28"/>
        </w:rPr>
        <w:t xml:space="preserve"> прошел процедуру публичного обсуждения. </w:t>
      </w:r>
    </w:p>
    <w:p w14:paraId="161ABED6" w14:textId="2481CCF5" w:rsidR="00511C83" w:rsidRPr="00511C83" w:rsidRDefault="00511C83" w:rsidP="00511C83">
      <w:pPr>
        <w:spacing w:line="360" w:lineRule="auto"/>
        <w:rPr>
          <w:b/>
          <w:bCs/>
          <w:sz w:val="28"/>
          <w:szCs w:val="28"/>
        </w:rPr>
      </w:pPr>
      <w:r w:rsidRPr="00511C83">
        <w:rPr>
          <w:sz w:val="28"/>
          <w:szCs w:val="28"/>
        </w:rPr>
        <w:t xml:space="preserve">В ходе рассмотрения первой редакции проекта </w:t>
      </w:r>
      <w:r w:rsidR="0017026E">
        <w:rPr>
          <w:sz w:val="28"/>
          <w:szCs w:val="28"/>
        </w:rPr>
        <w:t xml:space="preserve">стандарта </w:t>
      </w:r>
      <w:r w:rsidRPr="00511C83">
        <w:rPr>
          <w:sz w:val="28"/>
          <w:szCs w:val="28"/>
        </w:rPr>
        <w:t xml:space="preserve">поступили </w:t>
      </w:r>
      <w:r w:rsidR="0013367B">
        <w:rPr>
          <w:sz w:val="28"/>
          <w:szCs w:val="28"/>
        </w:rPr>
        <w:t>отзывы</w:t>
      </w:r>
      <w:r w:rsidRPr="00511C83">
        <w:rPr>
          <w:sz w:val="28"/>
          <w:szCs w:val="28"/>
        </w:rPr>
        <w:t xml:space="preserve"> от 15 организаций: АО «Концерн ВКО «Алмаз-Антей», АО «Коломенский завод», АО «НПО «Высокоточные комплексы», АО «ОПК», АО «У-УАЗ», АО «Вертолеты России», АО «ЦНИИмаш», ГК «Росатом», ООО «ТМХ Технологии», ООО «ТМХ-ПТР», ООО «ТМХ Инжиниринг», ООО «ТМХ-Электротех», АО «ТМХ», Союз «Объединение вагоностроителей», ООО «УКБВ».</w:t>
      </w:r>
      <w:r w:rsidR="00E670D2" w:rsidRPr="00E670D2">
        <w:rPr>
          <w:sz w:val="28"/>
          <w:szCs w:val="28"/>
        </w:rPr>
        <w:t xml:space="preserve"> </w:t>
      </w:r>
      <w:r w:rsidR="00E670D2" w:rsidRPr="00511C83">
        <w:rPr>
          <w:sz w:val="28"/>
          <w:szCs w:val="28"/>
        </w:rPr>
        <w:t>В отзывах 17 организаций замечания и предложения отсутствуют.</w:t>
      </w:r>
    </w:p>
    <w:p w14:paraId="1B17E55F" w14:textId="58A81F7B" w:rsidR="00511C83" w:rsidRPr="00511C83" w:rsidRDefault="00511C83" w:rsidP="00511C83">
      <w:pPr>
        <w:spacing w:line="360" w:lineRule="auto"/>
        <w:rPr>
          <w:sz w:val="28"/>
          <w:szCs w:val="28"/>
        </w:rPr>
      </w:pPr>
      <w:r w:rsidRPr="00511C83">
        <w:rPr>
          <w:sz w:val="28"/>
          <w:szCs w:val="28"/>
        </w:rPr>
        <w:t>Из 55 полученных замечаний: принято – 39, принято частично – 2, принято к сведению – 14 (обоснования приведены в сводке отзывов).</w:t>
      </w:r>
    </w:p>
    <w:p w14:paraId="3A04E5B1" w14:textId="2FFC9870" w:rsidR="00B93DBF" w:rsidRDefault="00214F35" w:rsidP="00214F35">
      <w:pPr>
        <w:spacing w:line="360" w:lineRule="auto"/>
        <w:rPr>
          <w:sz w:val="28"/>
          <w:szCs w:val="28"/>
          <w:highlight w:val="yellow"/>
        </w:rPr>
      </w:pPr>
      <w:r w:rsidRPr="00B93DBF">
        <w:rPr>
          <w:sz w:val="28"/>
          <w:szCs w:val="28"/>
        </w:rPr>
        <w:t>Окончательная редакция проекта рассмотрена членами ТК</w:t>
      </w:r>
      <w:r w:rsidR="00F37076" w:rsidRPr="00B93DBF">
        <w:rPr>
          <w:sz w:val="28"/>
          <w:szCs w:val="28"/>
        </w:rPr>
        <w:t> </w:t>
      </w:r>
      <w:r w:rsidRPr="00B93DBF">
        <w:rPr>
          <w:sz w:val="28"/>
          <w:szCs w:val="28"/>
        </w:rPr>
        <w:t>482 «Поддержка жизненного цикла продукции»</w:t>
      </w:r>
      <w:r w:rsidR="00B93DBF" w:rsidRPr="00B93DBF">
        <w:rPr>
          <w:sz w:val="28"/>
          <w:szCs w:val="28"/>
        </w:rPr>
        <w:t xml:space="preserve">. Замечания и предложения поступили от 4 организаций: АО «КБП», АО «Системы управления», ООО </w:t>
      </w:r>
      <w:r w:rsidR="00B93DBF" w:rsidRPr="00B93DBF">
        <w:rPr>
          <w:sz w:val="28"/>
          <w:szCs w:val="28"/>
        </w:rPr>
        <w:lastRenderedPageBreak/>
        <w:t>«ВНИЦТТ», Союз «Объединение вагоностроителей».</w:t>
      </w:r>
      <w:r w:rsidR="00B93DBF" w:rsidRPr="00B93DBF">
        <w:t xml:space="preserve"> </w:t>
      </w:r>
      <w:r w:rsidR="00B93DBF" w:rsidRPr="00B93DBF">
        <w:rPr>
          <w:sz w:val="28"/>
          <w:szCs w:val="28"/>
        </w:rPr>
        <w:t>Количество отзывов без замечаний и предложений — 17</w:t>
      </w:r>
    </w:p>
    <w:p w14:paraId="1E0DB7F1" w14:textId="54A6E5DF" w:rsidR="00214F35" w:rsidRPr="00214F35" w:rsidRDefault="008F1C9E" w:rsidP="00214F35">
      <w:pPr>
        <w:spacing w:line="360" w:lineRule="auto"/>
        <w:rPr>
          <w:sz w:val="28"/>
          <w:szCs w:val="28"/>
        </w:rPr>
      </w:pPr>
      <w:r w:rsidRPr="00B93DBF">
        <w:rPr>
          <w:sz w:val="28"/>
          <w:szCs w:val="28"/>
        </w:rPr>
        <w:t xml:space="preserve">Из </w:t>
      </w:r>
      <w:r w:rsidR="00B93DBF" w:rsidRPr="00B93DBF">
        <w:rPr>
          <w:sz w:val="28"/>
          <w:szCs w:val="28"/>
        </w:rPr>
        <w:t>31</w:t>
      </w:r>
      <w:r w:rsidRPr="00B93DBF">
        <w:rPr>
          <w:sz w:val="28"/>
          <w:szCs w:val="28"/>
        </w:rPr>
        <w:t xml:space="preserve"> полученных замечаний: принято – </w:t>
      </w:r>
      <w:r w:rsidR="00B93DBF" w:rsidRPr="00B93DBF">
        <w:rPr>
          <w:sz w:val="28"/>
          <w:szCs w:val="28"/>
        </w:rPr>
        <w:t>20</w:t>
      </w:r>
      <w:r w:rsidRPr="00B93DBF">
        <w:rPr>
          <w:sz w:val="28"/>
          <w:szCs w:val="28"/>
        </w:rPr>
        <w:t xml:space="preserve">, принято частично – </w:t>
      </w:r>
      <w:r w:rsidR="00B93DBF" w:rsidRPr="00B93DBF">
        <w:rPr>
          <w:sz w:val="28"/>
          <w:szCs w:val="28"/>
        </w:rPr>
        <w:t>5</w:t>
      </w:r>
      <w:r w:rsidRPr="00B93DBF">
        <w:rPr>
          <w:sz w:val="28"/>
          <w:szCs w:val="28"/>
        </w:rPr>
        <w:t xml:space="preserve">, принято к сведению – </w:t>
      </w:r>
      <w:r w:rsidR="00B93DBF" w:rsidRPr="00B93DBF">
        <w:rPr>
          <w:sz w:val="28"/>
          <w:szCs w:val="28"/>
        </w:rPr>
        <w:t>2</w:t>
      </w:r>
      <w:r w:rsidRPr="00B93DBF">
        <w:rPr>
          <w:sz w:val="28"/>
          <w:szCs w:val="28"/>
        </w:rPr>
        <w:t xml:space="preserve">. Отклонено – </w:t>
      </w:r>
      <w:r w:rsidR="00B93DBF" w:rsidRPr="00B93DBF">
        <w:rPr>
          <w:sz w:val="28"/>
          <w:szCs w:val="28"/>
        </w:rPr>
        <w:t>4</w:t>
      </w:r>
      <w:r w:rsidRPr="00B93DBF">
        <w:rPr>
          <w:sz w:val="28"/>
          <w:szCs w:val="28"/>
        </w:rPr>
        <w:t xml:space="preserve">. </w:t>
      </w:r>
    </w:p>
    <w:p w14:paraId="0F5649C8" w14:textId="07CC18D1" w:rsidR="00883EF7" w:rsidRPr="00883EF7" w:rsidRDefault="00214F35" w:rsidP="00883EF7">
      <w:pPr>
        <w:spacing w:line="360" w:lineRule="auto"/>
        <w:rPr>
          <w:sz w:val="28"/>
          <w:szCs w:val="28"/>
        </w:rPr>
      </w:pPr>
      <w:r w:rsidRPr="00B93DBF">
        <w:rPr>
          <w:color w:val="000000"/>
          <w:sz w:val="28"/>
          <w:szCs w:val="28"/>
        </w:rPr>
        <w:t xml:space="preserve">Окончательная редакция </w:t>
      </w:r>
      <w:r w:rsidR="0017026E">
        <w:rPr>
          <w:color w:val="000000"/>
          <w:sz w:val="28"/>
          <w:szCs w:val="28"/>
        </w:rPr>
        <w:t xml:space="preserve">проекта стандарта </w:t>
      </w:r>
      <w:r w:rsidRPr="00B93DBF">
        <w:rPr>
          <w:color w:val="000000"/>
          <w:sz w:val="28"/>
          <w:szCs w:val="28"/>
        </w:rPr>
        <w:t>была доработана по замечаниям данных организаций и</w:t>
      </w:r>
      <w:r w:rsidR="00B33BFC" w:rsidRPr="00B93DBF">
        <w:rPr>
          <w:sz w:val="28"/>
          <w:szCs w:val="28"/>
        </w:rPr>
        <w:t xml:space="preserve"> прошла </w:t>
      </w:r>
      <w:r w:rsidR="00883EF7" w:rsidRPr="00B93DBF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B93DBF">
        <w:rPr>
          <w:sz w:val="28"/>
          <w:szCs w:val="28"/>
        </w:rPr>
        <w:t xml:space="preserve">В ходе голосования проект </w:t>
      </w:r>
      <w:r w:rsidR="00883EF7" w:rsidRPr="00B93DBF">
        <w:rPr>
          <w:sz w:val="28"/>
          <w:szCs w:val="28"/>
          <w:highlight w:val="yellow"/>
        </w:rPr>
        <w:t xml:space="preserve">поддержало </w:t>
      </w:r>
      <w:r w:rsidR="00B93DBF" w:rsidRPr="00B93DBF">
        <w:rPr>
          <w:sz w:val="28"/>
          <w:szCs w:val="28"/>
          <w:highlight w:val="yellow"/>
        </w:rPr>
        <w:t>ХХ</w:t>
      </w:r>
      <w:r w:rsidR="00883EF7" w:rsidRPr="00B93DBF">
        <w:rPr>
          <w:sz w:val="28"/>
          <w:szCs w:val="28"/>
          <w:highlight w:val="yellow"/>
        </w:rPr>
        <w:t xml:space="preserve"> организации из </w:t>
      </w:r>
      <w:r w:rsidR="00AA55E4" w:rsidRPr="00B93DBF">
        <w:rPr>
          <w:sz w:val="28"/>
          <w:szCs w:val="28"/>
          <w:highlight w:val="yellow"/>
        </w:rPr>
        <w:t>70</w:t>
      </w:r>
      <w:r w:rsidR="00883EF7" w:rsidRPr="00B93DBF">
        <w:rPr>
          <w:sz w:val="28"/>
          <w:szCs w:val="28"/>
          <w:highlight w:val="yellow"/>
        </w:rPr>
        <w:t xml:space="preserve">, голосов «против» </w:t>
      </w:r>
      <w:r w:rsidRPr="00B93DBF">
        <w:rPr>
          <w:sz w:val="28"/>
          <w:szCs w:val="28"/>
          <w:highlight w:val="yellow"/>
        </w:rPr>
        <w:t>нет</w:t>
      </w:r>
      <w:r w:rsidR="00883EF7" w:rsidRPr="00B93DBF">
        <w:rPr>
          <w:sz w:val="28"/>
          <w:szCs w:val="28"/>
          <w:highlight w:val="yellow"/>
        </w:rPr>
        <w:t xml:space="preserve">. От </w:t>
      </w:r>
      <w:r w:rsidR="00B93DBF" w:rsidRPr="00B93DBF">
        <w:rPr>
          <w:sz w:val="28"/>
          <w:szCs w:val="28"/>
          <w:highlight w:val="yellow"/>
        </w:rPr>
        <w:t>ХХ</w:t>
      </w:r>
      <w:r w:rsidR="00883EF7" w:rsidRPr="00B93DBF">
        <w:rPr>
          <w:sz w:val="28"/>
          <w:szCs w:val="28"/>
          <w:highlight w:val="yellow"/>
        </w:rPr>
        <w:t xml:space="preserve"> организаций-</w:t>
      </w:r>
      <w:r w:rsidR="00883EF7" w:rsidRPr="00B93DBF">
        <w:rPr>
          <w:sz w:val="28"/>
          <w:szCs w:val="28"/>
        </w:rPr>
        <w:t>членов ТК ответы не поступили.</w:t>
      </w:r>
    </w:p>
    <w:bookmarkEnd w:id="0"/>
    <w:p w14:paraId="7C593E17" w14:textId="502AB477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стандарта </w:t>
      </w:r>
      <w:r w:rsidR="003824A3" w:rsidRPr="008F36DF">
        <w:rPr>
          <w:sz w:val="28"/>
          <w:szCs w:val="28"/>
        </w:rPr>
        <w:t xml:space="preserve">и на основе консенсуса ТК </w:t>
      </w:r>
      <w:r w:rsidR="003824A3">
        <w:rPr>
          <w:sz w:val="28"/>
          <w:szCs w:val="28"/>
        </w:rPr>
        <w:t>482</w:t>
      </w:r>
      <w:r w:rsidR="003824A3" w:rsidRPr="008F36DF">
        <w:rPr>
          <w:sz w:val="28"/>
          <w:szCs w:val="28"/>
        </w:rPr>
        <w:t xml:space="preserve"> </w:t>
      </w:r>
      <w:r w:rsidR="003824A3" w:rsidRPr="008B4C1F">
        <w:rPr>
          <w:sz w:val="28"/>
          <w:szCs w:val="28"/>
        </w:rPr>
        <w:t>«Поддержка жизненного цикла продукции» считает возможным рекомендовать к утверждению проект</w:t>
      </w:r>
      <w:r w:rsidR="003824A3">
        <w:rPr>
          <w:sz w:val="28"/>
          <w:szCs w:val="28"/>
        </w:rPr>
        <w:t xml:space="preserve"> ПНСТ </w:t>
      </w:r>
      <w:r w:rsidR="00684FE8">
        <w:rPr>
          <w:sz w:val="28"/>
          <w:szCs w:val="28"/>
        </w:rPr>
        <w:t>«</w:t>
      </w:r>
      <w:r w:rsidR="00511C83" w:rsidRPr="00DA0C13">
        <w:rPr>
          <w:sz w:val="28"/>
          <w:szCs w:val="28"/>
        </w:rPr>
        <w:t>Система поддержки жизненного цикла изделия. Информационная модель изделия. Основные положения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B93DBF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 xml:space="preserve">Программы </w:t>
      </w:r>
      <w:r w:rsidR="00F37076" w:rsidRPr="000C02D7">
        <w:rPr>
          <w:sz w:val="28"/>
          <w:szCs w:val="28"/>
        </w:rPr>
        <w:t>национальной стандартизации на 2025</w:t>
      </w:r>
      <w:r w:rsidR="0013367B">
        <w:rPr>
          <w:sz w:val="28"/>
          <w:szCs w:val="28"/>
        </w:rPr>
        <w:t>–2026</w:t>
      </w:r>
      <w:r w:rsidR="00F37076" w:rsidRPr="000C02D7">
        <w:rPr>
          <w:sz w:val="28"/>
          <w:szCs w:val="28"/>
        </w:rPr>
        <w:t xml:space="preserve"> год</w:t>
      </w:r>
      <w:r w:rsidR="00F37076" w:rsidRPr="00034DAB">
        <w:rPr>
          <w:rFonts w:eastAsia="Calibri"/>
          <w:sz w:val="28"/>
          <w:szCs w:val="28"/>
        </w:rPr>
        <w:t xml:space="preserve"> (шифр темы </w:t>
      </w:r>
      <w:r w:rsidR="00511C83" w:rsidRPr="00511C83">
        <w:rPr>
          <w:rFonts w:eastAsia="Calibri"/>
          <w:sz w:val="28"/>
          <w:szCs w:val="28"/>
        </w:rPr>
        <w:t>1.0.482-1.103.25</w:t>
      </w:r>
      <w:r w:rsidR="00F37076" w:rsidRPr="00034DAB">
        <w:rPr>
          <w:rFonts w:eastAsia="Calibri"/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</w:t>
      </w:r>
      <w:r w:rsidR="00B93DBF">
        <w:rPr>
          <w:sz w:val="28"/>
          <w:szCs w:val="28"/>
        </w:rPr>
        <w:t xml:space="preserve">предварительного </w:t>
      </w:r>
      <w:r w:rsidR="00286639" w:rsidRPr="008F36DF">
        <w:rPr>
          <w:sz w:val="28"/>
          <w:szCs w:val="28"/>
        </w:rPr>
        <w:t xml:space="preserve">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</w:t>
      </w:r>
      <w:r w:rsidR="007F7893" w:rsidRPr="00F37076">
        <w:rPr>
          <w:sz w:val="28"/>
          <w:szCs w:val="28"/>
          <w:highlight w:val="yellow"/>
        </w:rPr>
        <w:t xml:space="preserve">«01» </w:t>
      </w:r>
      <w:r w:rsidR="00B93DBF">
        <w:rPr>
          <w:sz w:val="28"/>
          <w:szCs w:val="28"/>
          <w:highlight w:val="yellow"/>
        </w:rPr>
        <w:t>января</w:t>
      </w:r>
      <w:r w:rsidR="007F7893" w:rsidRPr="00F37076">
        <w:rPr>
          <w:sz w:val="28"/>
          <w:szCs w:val="28"/>
          <w:highlight w:val="yellow"/>
        </w:rPr>
        <w:t xml:space="preserve"> 2027</w:t>
      </w:r>
      <w:r w:rsidR="007F7893" w:rsidRPr="00AA55E4">
        <w:rPr>
          <w:sz w:val="28"/>
          <w:szCs w:val="28"/>
        </w:rPr>
        <w:t xml:space="preserve">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0886E" w14:textId="77777777" w:rsidR="00D37D7E" w:rsidRDefault="00D37D7E" w:rsidP="00DF305D">
      <w:pPr>
        <w:spacing w:line="240" w:lineRule="auto"/>
      </w:pPr>
      <w:r>
        <w:separator/>
      </w:r>
    </w:p>
  </w:endnote>
  <w:endnote w:type="continuationSeparator" w:id="0">
    <w:p w14:paraId="4FCFF918" w14:textId="77777777" w:rsidR="00D37D7E" w:rsidRDefault="00D37D7E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29E56" w14:textId="77777777" w:rsidR="00D37D7E" w:rsidRDefault="00D37D7E" w:rsidP="00DF305D">
      <w:pPr>
        <w:spacing w:line="240" w:lineRule="auto"/>
      </w:pPr>
      <w:r>
        <w:separator/>
      </w:r>
    </w:p>
  </w:footnote>
  <w:footnote w:type="continuationSeparator" w:id="0">
    <w:p w14:paraId="42900976" w14:textId="77777777" w:rsidR="00D37D7E" w:rsidRDefault="00D37D7E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54AF1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2B38"/>
    <w:rsid w:val="00123A78"/>
    <w:rsid w:val="001279C5"/>
    <w:rsid w:val="00127D3C"/>
    <w:rsid w:val="0013367B"/>
    <w:rsid w:val="0014549F"/>
    <w:rsid w:val="0015605F"/>
    <w:rsid w:val="001576B1"/>
    <w:rsid w:val="00170135"/>
    <w:rsid w:val="0017026E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D5CC0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5F23"/>
    <w:rsid w:val="002F675D"/>
    <w:rsid w:val="003031D1"/>
    <w:rsid w:val="0035019E"/>
    <w:rsid w:val="0035106A"/>
    <w:rsid w:val="00361B11"/>
    <w:rsid w:val="003639C8"/>
    <w:rsid w:val="003749F2"/>
    <w:rsid w:val="00381557"/>
    <w:rsid w:val="003824A3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35A53"/>
    <w:rsid w:val="00447976"/>
    <w:rsid w:val="00451A75"/>
    <w:rsid w:val="00452F5A"/>
    <w:rsid w:val="00466B34"/>
    <w:rsid w:val="00470521"/>
    <w:rsid w:val="00470EA6"/>
    <w:rsid w:val="00473AC5"/>
    <w:rsid w:val="00492D9D"/>
    <w:rsid w:val="004A2E4D"/>
    <w:rsid w:val="004A5183"/>
    <w:rsid w:val="004B340A"/>
    <w:rsid w:val="004C5630"/>
    <w:rsid w:val="004D67A7"/>
    <w:rsid w:val="004D72A2"/>
    <w:rsid w:val="004F0572"/>
    <w:rsid w:val="004F227F"/>
    <w:rsid w:val="004F597E"/>
    <w:rsid w:val="004F7442"/>
    <w:rsid w:val="00501302"/>
    <w:rsid w:val="005030F1"/>
    <w:rsid w:val="00503410"/>
    <w:rsid w:val="005048DD"/>
    <w:rsid w:val="00511C83"/>
    <w:rsid w:val="00513BA4"/>
    <w:rsid w:val="005320A2"/>
    <w:rsid w:val="00536C94"/>
    <w:rsid w:val="00541DAB"/>
    <w:rsid w:val="0056258F"/>
    <w:rsid w:val="00574C74"/>
    <w:rsid w:val="005827CB"/>
    <w:rsid w:val="005952FA"/>
    <w:rsid w:val="005B0662"/>
    <w:rsid w:val="005C12B9"/>
    <w:rsid w:val="00600D88"/>
    <w:rsid w:val="006303CF"/>
    <w:rsid w:val="006323FD"/>
    <w:rsid w:val="006365EF"/>
    <w:rsid w:val="006369B2"/>
    <w:rsid w:val="00641FE4"/>
    <w:rsid w:val="0064338C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044D0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49DD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25422"/>
    <w:rsid w:val="00A27711"/>
    <w:rsid w:val="00A30330"/>
    <w:rsid w:val="00A3095A"/>
    <w:rsid w:val="00A46E2C"/>
    <w:rsid w:val="00A5065E"/>
    <w:rsid w:val="00AA2927"/>
    <w:rsid w:val="00AA4BFD"/>
    <w:rsid w:val="00AA55E4"/>
    <w:rsid w:val="00AA75CF"/>
    <w:rsid w:val="00AE5555"/>
    <w:rsid w:val="00AF4183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3DBF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04F71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37D7E"/>
    <w:rsid w:val="00D47543"/>
    <w:rsid w:val="00D50B1E"/>
    <w:rsid w:val="00D63382"/>
    <w:rsid w:val="00D63BB4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670D2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37076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14</cp:revision>
  <cp:lastPrinted>2026-04-17T12:25:00Z</cp:lastPrinted>
  <dcterms:created xsi:type="dcterms:W3CDTF">2026-04-17T12:21:00Z</dcterms:created>
  <dcterms:modified xsi:type="dcterms:W3CDTF">2026-09-01T11:42:00Z</dcterms:modified>
</cp:coreProperties>
</file>