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E56E71" w:rsidRDefault="00DD02E5" w:rsidP="00E56E7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1C375150" w:rsidR="00DD02E5" w:rsidRPr="00E56E71" w:rsidRDefault="00DD02E5" w:rsidP="00E56E7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 xml:space="preserve">к </w:t>
      </w:r>
      <w:r w:rsidR="006C1F1E">
        <w:rPr>
          <w:rFonts w:ascii="Arial" w:hAnsi="Arial" w:cs="Arial"/>
          <w:b/>
          <w:sz w:val="24"/>
          <w:szCs w:val="24"/>
        </w:rPr>
        <w:t>окончательной</w:t>
      </w:r>
      <w:r w:rsidRPr="00E56E71">
        <w:rPr>
          <w:rFonts w:ascii="Arial" w:hAnsi="Arial" w:cs="Arial"/>
          <w:b/>
          <w:sz w:val="24"/>
          <w:szCs w:val="24"/>
        </w:rPr>
        <w:t xml:space="preserve"> редакции национального стандарта</w:t>
      </w:r>
    </w:p>
    <w:p w14:paraId="53AD9D70" w14:textId="039C7F4E" w:rsidR="00DD02E5" w:rsidRPr="00E56E71" w:rsidRDefault="00DD02E5" w:rsidP="00E56E71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ГОСТ Р «</w:t>
      </w:r>
      <w:r w:rsidR="00924848" w:rsidRPr="00E56E71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2868EE" w:rsidRPr="00E56E71">
        <w:rPr>
          <w:rFonts w:ascii="Arial" w:hAnsi="Arial" w:cs="Arial"/>
          <w:b/>
          <w:sz w:val="24"/>
          <w:szCs w:val="24"/>
        </w:rPr>
        <w:t>я</w:t>
      </w:r>
      <w:r w:rsidR="009B03B1" w:rsidRPr="00E56E71">
        <w:rPr>
          <w:rFonts w:ascii="Arial" w:hAnsi="Arial" w:cs="Arial"/>
          <w:b/>
          <w:sz w:val="24"/>
          <w:szCs w:val="24"/>
        </w:rPr>
        <w:t xml:space="preserve">. </w:t>
      </w:r>
      <w:r w:rsidR="00924848" w:rsidRPr="00E56E71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D725CD" w:rsidRPr="00E56E71">
        <w:rPr>
          <w:rFonts w:ascii="Arial" w:hAnsi="Arial" w:cs="Arial"/>
          <w:b/>
          <w:sz w:val="24"/>
          <w:szCs w:val="24"/>
        </w:rPr>
        <w:t>Структура изделия</w:t>
      </w:r>
      <w:r w:rsidRPr="00E56E71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1</w:t>
      </w:r>
      <w:r w:rsidRPr="00E56E71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E56E71" w:rsidRDefault="00DD02E5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E56E71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E56E71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2C21A60F" w:rsidR="00DD02E5" w:rsidRPr="00E56E71" w:rsidRDefault="00DD02E5" w:rsidP="00E56E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8C32DB" w:rsidRPr="00E56E71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D725CD" w:rsidRPr="00E56E71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="008C32DB" w:rsidRPr="00E56E71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E56E7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E56E71" w:rsidRDefault="00386FE1" w:rsidP="00E56E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E56E71" w:rsidRDefault="003C618B" w:rsidP="00E56E71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E56E71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2</w:t>
      </w:r>
      <w:r w:rsidRPr="00E56E71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45D22641" w14:textId="3B754F13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 изделия от разработки концепции изделия до утилизации последнего экземпляра изделия.</w:t>
      </w:r>
    </w:p>
    <w:p w14:paraId="2A1254E5" w14:textId="11D97E4B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</w:t>
      </w:r>
      <w:r w:rsidR="00613044" w:rsidRPr="00E56E71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тся </w:t>
      </w:r>
      <w:r w:rsidR="00613044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схема данных, содержащая 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основные объекты и атрибуты, необходимые для представления конфигурируемых структур изделия разных видов</w:t>
      </w:r>
      <w:r w:rsidR="00962C10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в виде информационной модели.</w:t>
      </w:r>
    </w:p>
    <w:p w14:paraId="6FD0E1DA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3D869A0E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3</w:t>
      </w:r>
      <w:r w:rsidRPr="00E56E71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1C8052E6" w14:textId="7777777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 положениях:</w:t>
      </w:r>
    </w:p>
    <w:p w14:paraId="01F91242" w14:textId="6EE09BA3" w:rsidR="00592EEE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– ГОСТ Р ИСО 10303-44-2022 (аутентичный перевод ISO 10303-44:2019);</w:t>
      </w:r>
    </w:p>
    <w:p w14:paraId="76ED2BDA" w14:textId="06C42C3A" w:rsidR="00E40F87" w:rsidRPr="00E56E71" w:rsidRDefault="00E40F87" w:rsidP="00E40F87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– </w:t>
      </w:r>
      <w:r>
        <w:rPr>
          <w:rFonts w:ascii="Arial" w:hAnsi="Arial" w:cs="Arial"/>
          <w:color w:val="000000"/>
          <w:sz w:val="24"/>
          <w:szCs w:val="24"/>
          <w:lang w:val="en-US" w:eastAsia="ru-RU"/>
        </w:rPr>
        <w:t>I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SO 10303-44:2022 Системы автоматизации производства и их интеграция. Представление данных об изделии и обмен этими данными. Часть 44. Интегрированный обобщенный ресурс. Конфигурация структуры изделия</w:t>
      </w:r>
      <w:r w:rsidR="00F7005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7712985" w14:textId="2EE16160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 разрабатывается совместно ведущими отечественными разработчиками и поставщиками программного обеспечения для управления данными об изделии и 3D моделирования – ЗАО «Топ Системы» и Группа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Аскон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– с учетом опыта разработки, поставки и поддержки программного обеспечения для управления данными об изделии и 3D моделирования в организациях промышленности, а также опыта реализации проектов поддержки стандартов </w:t>
      </w:r>
      <w:r w:rsidR="00F7005B">
        <w:rPr>
          <w:rFonts w:ascii="Arial" w:hAnsi="Arial" w:cs="Arial"/>
          <w:color w:val="000000"/>
          <w:sz w:val="24"/>
          <w:szCs w:val="24"/>
          <w:lang w:eastAsia="ru-RU"/>
        </w:rPr>
        <w:br/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ISO 10303.</w:t>
      </w:r>
    </w:p>
    <w:p w14:paraId="3B528AD7" w14:textId="73A564BE" w:rsidR="00592EEE" w:rsidRPr="00E56E71" w:rsidRDefault="00592EEE" w:rsidP="00E40F87">
      <w:pPr>
        <w:widowControl w:val="0"/>
        <w:shd w:val="clear" w:color="auto" w:fill="FFFFFF"/>
        <w:tabs>
          <w:tab w:val="left" w:pos="993"/>
        </w:tabs>
        <w:spacing w:before="120"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Информационная модель, представленная в проекте стандарта, базируется на следующих схемах ISO 10303-44:</w:t>
      </w:r>
    </w:p>
    <w:p w14:paraId="68A5246F" w14:textId="77777777" w:rsidR="00592EEE" w:rsidRPr="00E56E71" w:rsidRDefault="00592EEE" w:rsidP="00E40F87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configuration_management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2273975C" w14:textId="77777777" w:rsidR="00592EEE" w:rsidRPr="00E56E71" w:rsidRDefault="00592EEE" w:rsidP="00E40F87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product_concept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47826084" w14:textId="77777777" w:rsidR="00592EEE" w:rsidRPr="00E56E71" w:rsidRDefault="00592EEE" w:rsidP="00E40F87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product_structure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val="en-US" w:eastAsia="ru-RU"/>
        </w:rPr>
        <w:t>.</w:t>
      </w:r>
    </w:p>
    <w:p w14:paraId="0485B527" w14:textId="1761621B" w:rsidR="00613044" w:rsidRPr="00E56E71" w:rsidRDefault="00613044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Из стандартизованных схем ISO, на основании согласованного между разработчиками представления о важных для информационной модели изделия элементах описания, выбраны только необходимые сущности. </w:t>
      </w:r>
    </w:p>
    <w:p w14:paraId="6FBD755A" w14:textId="18834587" w:rsidR="00592EEE" w:rsidRPr="00E56E71" w:rsidRDefault="00592EEE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Также добавлены отсутствующие в ISO 10303 механизмы, необходимые для полноценной реализации механизмов обмена данными между автоматизированными системами.</w:t>
      </w:r>
    </w:p>
    <w:p w14:paraId="15EE87F6" w14:textId="60D21817" w:rsidR="00A47777" w:rsidRPr="00E56E71" w:rsidRDefault="00592EEE" w:rsidP="00E56E71">
      <w:pPr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Данный стандарт в совокупности с другими стандартами Системы поддержки ЖЦ изделия будет использоваться для разработки стандартизованного формата </w:t>
      </w:r>
      <w:r w:rsidR="00613044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обмена данными об изделии 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между автоматизированными системами. Кроме того, описанная в стандарте информационная модель уже легла в основу утвержденного стандарта ГОСТ Р 2.525 «ЕСКД. Электронная конструктивная структура изделия. Формат данных», который может быть изменен или пересмотрен после утверждения принятия настоящего стандарта (если потребуется дополнительное согласование или дополнение описанного формата данных).</w:t>
      </w:r>
    </w:p>
    <w:p w14:paraId="1CD69662" w14:textId="3C39F165" w:rsidR="00DD02E5" w:rsidRPr="00E56E71" w:rsidRDefault="00DD02E5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4</w:t>
      </w:r>
      <w:r w:rsidRPr="00E56E71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E56E71" w:rsidRDefault="00DD02E5" w:rsidP="00E56E71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E56E71" w:rsidRDefault="00DD02E5" w:rsidP="00E56E71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E56E71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E56E71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5</w:t>
      </w:r>
      <w:r w:rsidRPr="00E56E71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71C26D38" w14:textId="0DFD5FEB" w:rsidR="00E40F87" w:rsidRPr="00E56E71" w:rsidRDefault="00386FE1" w:rsidP="00E40F87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 w:rsidR="00E56E71" w:rsidRPr="00E56E71">
        <w:rPr>
          <w:rFonts w:ascii="Arial" w:hAnsi="Arial" w:cs="Arial"/>
          <w:color w:val="000000"/>
          <w:sz w:val="24"/>
          <w:szCs w:val="24"/>
          <w:lang w:eastAsia="ru-RU"/>
        </w:rPr>
        <w:t>использ</w:t>
      </w:r>
      <w:r w:rsidR="00E40F87">
        <w:rPr>
          <w:rFonts w:ascii="Arial" w:hAnsi="Arial" w:cs="Arial"/>
          <w:color w:val="000000"/>
          <w:sz w:val="24"/>
          <w:szCs w:val="24"/>
          <w:lang w:eastAsia="ru-RU"/>
        </w:rPr>
        <w:t xml:space="preserve">ован 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международны</w:t>
      </w:r>
      <w:r w:rsidR="00E56E71" w:rsidRPr="00E56E71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стандарт </w:t>
      </w:r>
      <w:r w:rsidR="00E40F87" w:rsidRPr="00E56E71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ISO 10303-44:2022 Системы автоматизации производства и их интеграция. Представление данных об изделии и обмен этими данными. Часть 44. Интегрированный обобщенный ресурс. Конфигурация структуры изделия</w:t>
      </w:r>
      <w:r w:rsidR="00F7005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53E24BA" w14:textId="77777777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6</w:t>
      </w:r>
      <w:r w:rsidR="00DD02E5" w:rsidRPr="00E56E71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E56E71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E56E71">
        <w:rPr>
          <w:rFonts w:ascii="Arial" w:hAnsi="Arial" w:cs="Arial"/>
          <w:b/>
          <w:sz w:val="24"/>
          <w:szCs w:val="24"/>
        </w:rPr>
        <w:t>)</w:t>
      </w:r>
    </w:p>
    <w:p w14:paraId="2546E19A" w14:textId="4C557BBF" w:rsidR="00613044" w:rsidRPr="00E56E71" w:rsidRDefault="00613044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первой редакции проекта стандарта использован опыт создания элементов систем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</w:t>
      </w:r>
      <w:proofErr w:type="spellStart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Минцифры</w:t>
      </w:r>
      <w:proofErr w:type="spellEnd"/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 xml:space="preserve"> России в области создания отечественного программного обеспечения и реализации государственной политики по в указанной области</w:t>
      </w:r>
      <w:r w:rsidR="00F7005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77777777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7</w:t>
      </w:r>
      <w:r w:rsidR="00DD02E5" w:rsidRPr="00E56E71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E56E71" w:rsidRDefault="00DD02E5" w:rsidP="00E56E71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40F87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E40F87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4F70C244" w14:textId="77777777" w:rsidR="00E40F87" w:rsidRDefault="00E40F87" w:rsidP="00E40F87">
      <w:pPr>
        <w:pStyle w:val="ad"/>
        <w:widowControl w:val="0"/>
        <w:suppressAutoHyphens w:val="0"/>
      </w:pPr>
      <w:r>
        <w:t>ГОСТ Р 2.005  Единая система конструкторской документации. Термины и определения</w:t>
      </w:r>
    </w:p>
    <w:p w14:paraId="33D98033" w14:textId="77777777" w:rsidR="00E40F87" w:rsidRDefault="00E40F87" w:rsidP="00E40F87">
      <w:pPr>
        <w:pStyle w:val="ad"/>
        <w:widowControl w:val="0"/>
        <w:suppressAutoHyphens w:val="0"/>
      </w:pPr>
      <w:r>
        <w:t>ГОСТ Р 56862-2016 Система управления жизненным циклом Разработка концепции изделия и технологий. Термины и определения</w:t>
      </w:r>
    </w:p>
    <w:p w14:paraId="3A17E1AB" w14:textId="77777777" w:rsidR="00E40F87" w:rsidRDefault="00E40F87" w:rsidP="00E40F87">
      <w:pPr>
        <w:pStyle w:val="ad"/>
        <w:widowControl w:val="0"/>
        <w:suppressAutoHyphens w:val="0"/>
      </w:pPr>
      <w:r>
        <w:rPr>
          <w:rFonts w:cs="Arial"/>
        </w:rPr>
        <w:t>ГОСТ Р 59193 Управление конфигурацией. Основные положения</w:t>
      </w:r>
    </w:p>
    <w:p w14:paraId="41393F5A" w14:textId="77777777" w:rsidR="00E40F87" w:rsidRDefault="00E40F87" w:rsidP="00E40F87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t xml:space="preserve">ГОСТ Р 77.002  Система поддержки жизненного цикла изделия. Термины и определения </w:t>
      </w:r>
      <w:r>
        <w:rPr>
          <w:i/>
          <w:iCs/>
        </w:rPr>
        <w:t>(проект, окончательная редакция, разрабатывается совместно)</w:t>
      </w:r>
    </w:p>
    <w:p w14:paraId="4C403E8E" w14:textId="77777777" w:rsidR="00E40F87" w:rsidRDefault="00E40F87" w:rsidP="00E40F87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t xml:space="preserve">ГОСТ Р 77.102 Система поддержки жизненного цикла изделия. Модель жизненного цикла. Основные положения </w:t>
      </w:r>
      <w:r>
        <w:rPr>
          <w:i/>
          <w:iCs/>
        </w:rPr>
        <w:t>(проект, окончательная редакция, разрабатывается совместно)</w:t>
      </w:r>
    </w:p>
    <w:p w14:paraId="57ACA5C7" w14:textId="77777777" w:rsidR="00E40F87" w:rsidRDefault="00E40F87" w:rsidP="00E40F87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t xml:space="preserve">ГОСТ Р 77.301  Система поддержки жизненного цикла изделия. Информационная модель изделия. Основные положения </w:t>
      </w:r>
      <w:r>
        <w:rPr>
          <w:i/>
          <w:iCs/>
        </w:rPr>
        <w:t>(проект, первая редакция, разрабатывается совместно)</w:t>
      </w:r>
    </w:p>
    <w:p w14:paraId="1560951E" w14:textId="77777777" w:rsidR="00E40F87" w:rsidRDefault="00E40F87" w:rsidP="00E40F87">
      <w:pPr>
        <w:pStyle w:val="2"/>
        <w:numPr>
          <w:ilvl w:val="0"/>
          <w:numId w:val="0"/>
        </w:numPr>
        <w:tabs>
          <w:tab w:val="left" w:pos="708"/>
        </w:tabs>
        <w:ind w:firstLine="709"/>
        <w:rPr>
          <w:i/>
          <w:iCs/>
        </w:rPr>
      </w:pPr>
      <w:r>
        <w:rPr>
          <w:rFonts w:cs="Arial"/>
        </w:rPr>
        <w:t>ГОСТ Р 77.302  </w:t>
      </w:r>
      <w:r>
        <w:t xml:space="preserve">Система поддержки жизненного цикла изделия. Информационная модель изделия. Общие сведения об изделии </w:t>
      </w:r>
      <w:r>
        <w:rPr>
          <w:i/>
          <w:iCs/>
        </w:rPr>
        <w:t>(проект, первая редакция, разрабатывается совместно)</w:t>
      </w:r>
    </w:p>
    <w:p w14:paraId="354560DD" w14:textId="77777777" w:rsidR="00E40F87" w:rsidRDefault="00E40F87" w:rsidP="00E40F87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bookmarkStart w:id="1" w:name="_Hlk214449497"/>
      <w:r>
        <w:t xml:space="preserve">ГОСТ Р ИСО 10303–11 Системы автоматизации производства и их интеграция. </w:t>
      </w:r>
      <w:r>
        <w:lastRenderedPageBreak/>
        <w:t>Представление данных об изделии и обмен этими данными. Часть 11. Методы описания. Справочное руководство по языку EXPRESS</w:t>
      </w:r>
    </w:p>
    <w:bookmarkEnd w:id="1"/>
    <w:p w14:paraId="41A1C445" w14:textId="77777777" w:rsidR="00E40F87" w:rsidRDefault="00E40F87" w:rsidP="00E40F87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rPr>
          <w:rFonts w:cs="Arial"/>
        </w:rPr>
        <w:t>ГОСТ Р ИСО 10303–41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75F35791" w14:textId="77777777" w:rsidR="00E40F87" w:rsidRDefault="00E40F87" w:rsidP="00E40F87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rPr>
          <w:rFonts w:cs="Arial"/>
        </w:rPr>
        <w:t>ГОСТ Р ИСО 10303–44 Системы автоматизации производства и их интеграция. Представление данных об изделии и обмен этими данными. Часть 44. Интегрированный обобщенный ресурс. Конфигурация структуры изделия</w:t>
      </w:r>
    </w:p>
    <w:p w14:paraId="474953E2" w14:textId="7AD7618E" w:rsidR="00E56E71" w:rsidRPr="00E56E71" w:rsidRDefault="00E56E7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Внесение изменений во взаимосвязанные стандарты не требуется.</w:t>
      </w:r>
    </w:p>
    <w:p w14:paraId="6AFA6EA7" w14:textId="77777777" w:rsidR="00DB0790" w:rsidRPr="007D30B9" w:rsidRDefault="00DB0790" w:rsidP="00DB0790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>8</w:t>
      </w:r>
      <w:r w:rsidRPr="007D30B9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2473EFE9" w14:textId="77777777" w:rsidR="00DB0790" w:rsidRPr="007D30B9" w:rsidRDefault="00DB0790" w:rsidP="00DB0790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26.11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.2025, дата завершения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04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0EC77F36" w14:textId="784D9786" w:rsidR="00DB0790" w:rsidRPr="007D30B9" w:rsidRDefault="00DB0790" w:rsidP="00DB0790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и 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>предложения от 3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0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организации. В отзывах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16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6669887C" w14:textId="6CFFF4B3" w:rsidR="00F7005B" w:rsidRDefault="00DB0790" w:rsidP="00DB0790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F7005B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4 организаций: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АО «Концерн ВКО «Алмаз-Антей»,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АО «Коломенский завод»,</w:t>
      </w:r>
      <w:r w:rsidR="00F7005B" w:rsidRPr="00F7005B"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АО «НПО «Высокоточные комплексы»,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АО «ОПК»,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АО «У-УАЗ»,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АО «Вертолеты России»,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proofErr w:type="spellEnd"/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«Росатом»,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ООО «ТМХ-ПТР», ООО «ТМХ-</w:t>
      </w:r>
      <w:proofErr w:type="spellStart"/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Электротех</w:t>
      </w:r>
      <w:proofErr w:type="spellEnd"/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», АО «ТМХ»,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ООО «УКБВ»</w:t>
      </w:r>
      <w:r w:rsidR="00F7005B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Союз «Объединение вагоностроителей»</w:t>
      </w:r>
      <w:r w:rsidR="00F7005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BC704A9" w14:textId="12333B07" w:rsidR="00DB0790" w:rsidRPr="007D30B9" w:rsidRDefault="00DB0790" w:rsidP="00DB0790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на основании которой подготовлена окончательная редакция проекта ГОСТ Р. Из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66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43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, принято частично –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 xml:space="preserve">, отклонено – 1 (обоснования приведены в сводке отзывов), принято к сведению – </w:t>
      </w:r>
      <w:r w:rsidR="00F7005B" w:rsidRPr="00F7005B">
        <w:rPr>
          <w:rFonts w:ascii="Arial" w:hAnsi="Arial" w:cs="Arial"/>
          <w:color w:val="000000"/>
          <w:sz w:val="24"/>
          <w:szCs w:val="24"/>
          <w:lang w:eastAsia="ru-RU"/>
        </w:rPr>
        <w:t>17</w:t>
      </w:r>
      <w:r w:rsidRPr="00F7005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C0C9D46" w14:textId="0D0A8F54" w:rsidR="00DB0790" w:rsidRDefault="00DB0790" w:rsidP="00DB0790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 существенно доработан.</w:t>
      </w:r>
    </w:p>
    <w:p w14:paraId="262E5A24" w14:textId="42380391" w:rsidR="00DD02E5" w:rsidRPr="00E56E71" w:rsidRDefault="00DB0790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D02E5" w:rsidRPr="00E56E71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B44DB1D" w14:textId="18F21BDF" w:rsidR="003909F9" w:rsidRPr="00E56E71" w:rsidRDefault="00DD02E5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При подготовке настоящего проекта ГОСТ Р </w:t>
      </w:r>
      <w:r w:rsidR="00121C69" w:rsidRPr="00E56E71">
        <w:rPr>
          <w:rFonts w:ascii="Arial" w:hAnsi="Arial" w:cs="Arial"/>
          <w:color w:val="000000"/>
          <w:sz w:val="24"/>
          <w:szCs w:val="24"/>
          <w:lang w:eastAsia="ru-RU"/>
        </w:rPr>
        <w:t>использовались</w:t>
      </w:r>
      <w:r w:rsidR="00E56E71" w:rsidRPr="00E56E71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7F802BD9" w14:textId="0F8E5C71" w:rsidR="00E56E71" w:rsidRPr="00E56E71" w:rsidRDefault="00E56E71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ISO 10303-44:2022 Системы автоматизации производства и их интеграция. Представление данных об изделии и обмен этими данными. Часть 44. Интегрированный обобщенный ресурс. Конфигурация структуры изделия</w:t>
      </w:r>
    </w:p>
    <w:p w14:paraId="78D6C844" w14:textId="77777777" w:rsidR="00E56E71" w:rsidRPr="00E56E71" w:rsidRDefault="00E56E71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ГОСТ Р 2.525–2024 Единая система конструкторской документации. Электронная конструктивная структура изделия. Формат данных</w:t>
      </w:r>
    </w:p>
    <w:p w14:paraId="7B96BEAC" w14:textId="4F177625" w:rsidR="00DD02E5" w:rsidRPr="00E56E71" w:rsidRDefault="00DB0790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DD02E5" w:rsidRPr="00E56E71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11DD633" w14:textId="6D42080E" w:rsidR="00DD02E5" w:rsidRPr="00E56E71" w:rsidRDefault="00DD02E5" w:rsidP="00E56E71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E56E71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0AF5D56" w14:textId="2475AE7D" w:rsidR="00DD02E5" w:rsidRPr="00E56E71" w:rsidRDefault="00386FE1" w:rsidP="00E56E71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56E71">
        <w:rPr>
          <w:rFonts w:ascii="Arial" w:hAnsi="Arial" w:cs="Arial"/>
          <w:b/>
          <w:sz w:val="24"/>
          <w:szCs w:val="24"/>
        </w:rPr>
        <w:t>1</w:t>
      </w:r>
      <w:r w:rsidR="00DB0790">
        <w:rPr>
          <w:rFonts w:ascii="Arial" w:hAnsi="Arial" w:cs="Arial"/>
          <w:b/>
          <w:sz w:val="24"/>
          <w:szCs w:val="24"/>
        </w:rPr>
        <w:t>1</w:t>
      </w:r>
      <w:r w:rsidRPr="00E56E71">
        <w:rPr>
          <w:rFonts w:ascii="Arial" w:hAnsi="Arial" w:cs="Arial"/>
          <w:b/>
          <w:sz w:val="24"/>
          <w:szCs w:val="24"/>
        </w:rPr>
        <w:t xml:space="preserve"> </w:t>
      </w:r>
      <w:r w:rsidR="00DD02E5" w:rsidRPr="00E56E71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21B6B3EA" w14:textId="6E441649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7920EEFF" w14:textId="77777777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7F7DA86A" w14:textId="048BAF11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12B2ED69" w14:textId="77777777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300F4B7B" w14:textId="4A8F1BEE" w:rsidR="003D72C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6E71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56E71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C0DB27E" w14:textId="631B46CC" w:rsidR="002868EE" w:rsidRPr="00E56E71" w:rsidRDefault="002868EE" w:rsidP="00E56E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224832166"/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806"/>
      </w:tblGrid>
      <w:tr w:rsidR="00386FE1" w:rsidRPr="00E56E71" w14:paraId="241DFD42" w14:textId="77777777" w:rsidTr="008E32BF">
        <w:tc>
          <w:tcPr>
            <w:tcW w:w="4926" w:type="dxa"/>
            <w:hideMark/>
          </w:tcPr>
          <w:p w14:paraId="55CF80DA" w14:textId="54D2FAE5" w:rsidR="00386FE1" w:rsidRPr="00E56E71" w:rsidRDefault="00386FE1" w:rsidP="00E56E71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48F1CDD" w14:textId="77777777" w:rsidR="00386FE1" w:rsidRPr="00E56E71" w:rsidRDefault="00386FE1" w:rsidP="00E56E71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515312D1" w14:textId="77777777" w:rsidR="00386FE1" w:rsidRPr="00E56E71" w:rsidRDefault="00386FE1" w:rsidP="00E56E71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B05AF2B" w14:textId="45C46C47" w:rsidR="00386FE1" w:rsidRPr="00E56E71" w:rsidRDefault="00386FE1" w:rsidP="00E56E71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6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2D89918A" w14:textId="0AA4C5C9" w:rsidR="00E60A42" w:rsidRPr="00E56E71" w:rsidRDefault="00E60A42" w:rsidP="00E56E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446F1B" w14:textId="52675CC3" w:rsidR="004650F3" w:rsidRPr="00E56E71" w:rsidRDefault="004650F3" w:rsidP="00E56E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2"/>
    <w:p w14:paraId="625E8BB7" w14:textId="11EB54F9" w:rsidR="004650F3" w:rsidRPr="00E56E71" w:rsidRDefault="004650F3" w:rsidP="00E56E7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4650F3" w:rsidRPr="00E56E71" w:rsidSect="003D72CE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BA7A" w14:textId="77777777" w:rsidR="004908ED" w:rsidRDefault="004908ED" w:rsidP="001B611C">
      <w:pPr>
        <w:spacing w:after="0" w:line="240" w:lineRule="auto"/>
      </w:pPr>
      <w:r>
        <w:separator/>
      </w:r>
    </w:p>
    <w:p w14:paraId="6ED18806" w14:textId="77777777" w:rsidR="004908ED" w:rsidRDefault="004908ED"/>
  </w:endnote>
  <w:endnote w:type="continuationSeparator" w:id="0">
    <w:p w14:paraId="2A12A48B" w14:textId="77777777" w:rsidR="004908ED" w:rsidRDefault="004908ED" w:rsidP="001B611C">
      <w:pPr>
        <w:spacing w:after="0" w:line="240" w:lineRule="auto"/>
      </w:pPr>
      <w:r>
        <w:continuationSeparator/>
      </w:r>
    </w:p>
    <w:p w14:paraId="283F20EB" w14:textId="77777777" w:rsidR="004908ED" w:rsidRDefault="00490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DE744D0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C1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15A6" w14:textId="77777777" w:rsidR="004908ED" w:rsidRDefault="004908ED" w:rsidP="001B611C">
      <w:pPr>
        <w:spacing w:after="0" w:line="240" w:lineRule="auto"/>
      </w:pPr>
      <w:r>
        <w:separator/>
      </w:r>
    </w:p>
    <w:p w14:paraId="5EBD408B" w14:textId="77777777" w:rsidR="004908ED" w:rsidRDefault="004908ED"/>
  </w:footnote>
  <w:footnote w:type="continuationSeparator" w:id="0">
    <w:p w14:paraId="52C196BD" w14:textId="77777777" w:rsidR="004908ED" w:rsidRDefault="004908ED" w:rsidP="001B611C">
      <w:pPr>
        <w:spacing w:after="0" w:line="240" w:lineRule="auto"/>
      </w:pPr>
      <w:r>
        <w:continuationSeparator/>
      </w:r>
    </w:p>
    <w:p w14:paraId="67C0B357" w14:textId="77777777" w:rsidR="004908ED" w:rsidRDefault="004908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B120421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962C10">
          <w:rPr>
            <w:rFonts w:ascii="Times New Roman" w:hAnsi="Times New Roman" w:cs="Times New Roman"/>
            <w:noProof/>
            <w:sz w:val="24"/>
          </w:rPr>
          <w:t>3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D52EA"/>
    <w:rsid w:val="000E3D41"/>
    <w:rsid w:val="000F5230"/>
    <w:rsid w:val="00100C60"/>
    <w:rsid w:val="00120BF2"/>
    <w:rsid w:val="00121C69"/>
    <w:rsid w:val="00123D68"/>
    <w:rsid w:val="0015500D"/>
    <w:rsid w:val="00156523"/>
    <w:rsid w:val="00163591"/>
    <w:rsid w:val="00185CEA"/>
    <w:rsid w:val="00186AAE"/>
    <w:rsid w:val="00190101"/>
    <w:rsid w:val="00190452"/>
    <w:rsid w:val="001B611C"/>
    <w:rsid w:val="001D5B2E"/>
    <w:rsid w:val="00221AA9"/>
    <w:rsid w:val="00233BC1"/>
    <w:rsid w:val="00254E4F"/>
    <w:rsid w:val="002868EE"/>
    <w:rsid w:val="00286E24"/>
    <w:rsid w:val="002A33F0"/>
    <w:rsid w:val="002A39F1"/>
    <w:rsid w:val="00310321"/>
    <w:rsid w:val="00312B2C"/>
    <w:rsid w:val="003300D2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650F3"/>
    <w:rsid w:val="00467FE3"/>
    <w:rsid w:val="00470229"/>
    <w:rsid w:val="00474567"/>
    <w:rsid w:val="004908ED"/>
    <w:rsid w:val="004C60F2"/>
    <w:rsid w:val="004C7522"/>
    <w:rsid w:val="004D1986"/>
    <w:rsid w:val="00513D76"/>
    <w:rsid w:val="00515C68"/>
    <w:rsid w:val="00524E46"/>
    <w:rsid w:val="0053174E"/>
    <w:rsid w:val="00532AA9"/>
    <w:rsid w:val="00583727"/>
    <w:rsid w:val="00592EEE"/>
    <w:rsid w:val="005A7BB9"/>
    <w:rsid w:val="005C61FA"/>
    <w:rsid w:val="005D6464"/>
    <w:rsid w:val="005F20D1"/>
    <w:rsid w:val="00613044"/>
    <w:rsid w:val="00656D21"/>
    <w:rsid w:val="00660062"/>
    <w:rsid w:val="0067183B"/>
    <w:rsid w:val="00671BD2"/>
    <w:rsid w:val="00685F9E"/>
    <w:rsid w:val="006A5FEE"/>
    <w:rsid w:val="006B6DBB"/>
    <w:rsid w:val="006C1F1E"/>
    <w:rsid w:val="006D7330"/>
    <w:rsid w:val="006E5F38"/>
    <w:rsid w:val="006F0273"/>
    <w:rsid w:val="00733D7D"/>
    <w:rsid w:val="007347D7"/>
    <w:rsid w:val="00746218"/>
    <w:rsid w:val="007473FF"/>
    <w:rsid w:val="0076325B"/>
    <w:rsid w:val="00767345"/>
    <w:rsid w:val="007856E0"/>
    <w:rsid w:val="007A1418"/>
    <w:rsid w:val="007D1D61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6234D"/>
    <w:rsid w:val="00876A25"/>
    <w:rsid w:val="008815BD"/>
    <w:rsid w:val="0088342E"/>
    <w:rsid w:val="00894583"/>
    <w:rsid w:val="008B79A7"/>
    <w:rsid w:val="008C32DB"/>
    <w:rsid w:val="008D1FED"/>
    <w:rsid w:val="008F2CA4"/>
    <w:rsid w:val="009021B7"/>
    <w:rsid w:val="00924848"/>
    <w:rsid w:val="00933FB4"/>
    <w:rsid w:val="00952B4D"/>
    <w:rsid w:val="00962C10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5B0B"/>
    <w:rsid w:val="00A30B85"/>
    <w:rsid w:val="00A46667"/>
    <w:rsid w:val="00A47777"/>
    <w:rsid w:val="00A6309D"/>
    <w:rsid w:val="00A82021"/>
    <w:rsid w:val="00A8260D"/>
    <w:rsid w:val="00A930C9"/>
    <w:rsid w:val="00AB3603"/>
    <w:rsid w:val="00AD2D40"/>
    <w:rsid w:val="00AE2886"/>
    <w:rsid w:val="00B00D0C"/>
    <w:rsid w:val="00B06999"/>
    <w:rsid w:val="00B12AFF"/>
    <w:rsid w:val="00B246B9"/>
    <w:rsid w:val="00B527C4"/>
    <w:rsid w:val="00B532F5"/>
    <w:rsid w:val="00B65CE8"/>
    <w:rsid w:val="00B725F7"/>
    <w:rsid w:val="00B9104F"/>
    <w:rsid w:val="00B93C4B"/>
    <w:rsid w:val="00BF33F5"/>
    <w:rsid w:val="00C17808"/>
    <w:rsid w:val="00C2453E"/>
    <w:rsid w:val="00C33A0B"/>
    <w:rsid w:val="00C52152"/>
    <w:rsid w:val="00C600E9"/>
    <w:rsid w:val="00C62972"/>
    <w:rsid w:val="00C65393"/>
    <w:rsid w:val="00C81A47"/>
    <w:rsid w:val="00C877AA"/>
    <w:rsid w:val="00C9011E"/>
    <w:rsid w:val="00C906F9"/>
    <w:rsid w:val="00C92FC1"/>
    <w:rsid w:val="00D107CA"/>
    <w:rsid w:val="00D4510C"/>
    <w:rsid w:val="00D60C2D"/>
    <w:rsid w:val="00D725CD"/>
    <w:rsid w:val="00D80C86"/>
    <w:rsid w:val="00D85B49"/>
    <w:rsid w:val="00DA2172"/>
    <w:rsid w:val="00DB0790"/>
    <w:rsid w:val="00DB301C"/>
    <w:rsid w:val="00DD02E5"/>
    <w:rsid w:val="00DE50BB"/>
    <w:rsid w:val="00E00F1D"/>
    <w:rsid w:val="00E024A3"/>
    <w:rsid w:val="00E144E8"/>
    <w:rsid w:val="00E27A1E"/>
    <w:rsid w:val="00E36AB8"/>
    <w:rsid w:val="00E40F87"/>
    <w:rsid w:val="00E45569"/>
    <w:rsid w:val="00E51FFE"/>
    <w:rsid w:val="00E56E71"/>
    <w:rsid w:val="00E576B7"/>
    <w:rsid w:val="00E60A42"/>
    <w:rsid w:val="00E71D6C"/>
    <w:rsid w:val="00E77BB1"/>
    <w:rsid w:val="00EC1615"/>
    <w:rsid w:val="00ED4F04"/>
    <w:rsid w:val="00EE106D"/>
    <w:rsid w:val="00EE5848"/>
    <w:rsid w:val="00F0504F"/>
    <w:rsid w:val="00F07E22"/>
    <w:rsid w:val="00F25E62"/>
    <w:rsid w:val="00F31ADC"/>
    <w:rsid w:val="00F31F57"/>
    <w:rsid w:val="00F4234A"/>
    <w:rsid w:val="00F6305D"/>
    <w:rsid w:val="00F6757A"/>
    <w:rsid w:val="00F7005B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A6E01624-87BB-4183-A4A8-4FA3AB49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character" w:styleId="ac">
    <w:name w:val="Unresolved Mention"/>
    <w:basedOn w:val="a0"/>
    <w:uiPriority w:val="99"/>
    <w:semiHidden/>
    <w:unhideWhenUsed/>
    <w:rsid w:val="002868EE"/>
    <w:rPr>
      <w:color w:val="605E5C"/>
      <w:shd w:val="clear" w:color="auto" w:fill="E1DFDD"/>
    </w:rPr>
  </w:style>
  <w:style w:type="paragraph" w:customStyle="1" w:styleId="ad">
    <w:name w:val="ГОСТ Р текст без уровня"/>
    <w:basedOn w:val="a"/>
    <w:qFormat/>
    <w:rsid w:val="00E40F87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AC46-7B88-405E-8333-912B0BCD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5</cp:revision>
  <cp:lastPrinted>2026-03-19T14:01:00Z</cp:lastPrinted>
  <dcterms:created xsi:type="dcterms:W3CDTF">2026-06-17T09:11:00Z</dcterms:created>
  <dcterms:modified xsi:type="dcterms:W3CDTF">2026-06-27T18:35:00Z</dcterms:modified>
</cp:coreProperties>
</file>